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color w:val="002060"/>
          <w:sz w:val="24"/>
        </w:rPr>
      </w:pPr>
      <w:r>
        <w:rPr/>
        <w:drawing>
          <wp:inline distT="0" distB="0" distL="0" distR="0">
            <wp:extent cx="1127760" cy="108140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6" t="-27" r="-26" b="-27"/>
                    <a:stretch>
                      <a:fillRect/>
                    </a:stretch>
                  </pic:blipFill>
                  <pic:spPr bwMode="auto">
                    <a:xfrm>
                      <a:off x="0" y="0"/>
                      <a:ext cx="1127760" cy="1081405"/>
                    </a:xfrm>
                    <a:prstGeom prst="rect">
                      <a:avLst/>
                    </a:prstGeom>
                  </pic:spPr>
                </pic:pic>
              </a:graphicData>
            </a:graphic>
          </wp:inline>
        </w:drawing>
      </w:r>
    </w:p>
    <w:p>
      <w:pPr>
        <w:pStyle w:val="Normal"/>
        <w:jc w:val="center"/>
        <w:rPr>
          <w:rFonts w:ascii="Arial" w:hAnsi="Arial" w:cs="Arial"/>
          <w:b/>
          <w:color w:val="002060"/>
          <w:sz w:val="24"/>
        </w:rPr>
      </w:pPr>
      <w:r>
        <w:rPr>
          <w:rFonts w:cs="Arial" w:ascii="Arial" w:hAnsi="Arial"/>
          <w:b/>
          <w:color w:val="002060"/>
          <w:sz w:val="24"/>
        </w:rPr>
      </w:r>
    </w:p>
    <w:p>
      <w:pPr>
        <w:pStyle w:val="Normal"/>
        <w:jc w:val="center"/>
        <w:rPr>
          <w:rFonts w:ascii="Arial" w:hAnsi="Arial" w:cs="Arial"/>
          <w:b/>
          <w:sz w:val="24"/>
        </w:rPr>
      </w:pPr>
      <w:r>
        <w:rPr>
          <w:rFonts w:cs="Arial" w:ascii="Arial" w:hAnsi="Arial"/>
          <w:b/>
          <w:sz w:val="24"/>
        </w:rPr>
        <w:t>JOB DESCRIPTION</w:t>
      </w:r>
    </w:p>
    <w:p>
      <w:pPr>
        <w:pStyle w:val="Normal"/>
        <w:jc w:val="center"/>
        <w:rPr>
          <w:rFonts w:ascii="Calibri" w:hAnsi="Calibri" w:cs="Calibri"/>
          <w:b/>
          <w:sz w:val="24"/>
        </w:rPr>
      </w:pPr>
      <w:r>
        <w:rPr>
          <w:rFonts w:cs="Calibri" w:ascii="Calibri" w:hAnsi="Calibri"/>
          <w:b/>
          <w:sz w:val="24"/>
        </w:rPr>
      </w:r>
    </w:p>
    <w:p>
      <w:pPr>
        <w:pStyle w:val="Normal"/>
        <w:jc w:val="center"/>
        <w:rPr>
          <w:rFonts w:ascii="Calibri" w:hAnsi="Calibri" w:cs="Calibri"/>
          <w:b/>
          <w:sz w:val="24"/>
        </w:rPr>
      </w:pPr>
      <w:r>
        <w:rPr>
          <w:rFonts w:cs="Calibri" w:ascii="Calibri" w:hAnsi="Calibri"/>
          <w:b/>
          <w:sz w:val="24"/>
        </w:rPr>
      </w:r>
    </w:p>
    <w:tbl>
      <w:tblPr>
        <w:tblW w:w="10108" w:type="dxa"/>
        <w:jc w:val="left"/>
        <w:tblInd w:w="-181" w:type="dxa"/>
        <w:tblLayout w:type="fixed"/>
        <w:tblCellMar>
          <w:top w:w="0" w:type="dxa"/>
          <w:left w:w="108" w:type="dxa"/>
          <w:bottom w:w="0" w:type="dxa"/>
          <w:right w:w="108" w:type="dxa"/>
        </w:tblCellMar>
      </w:tblPr>
      <w:tblGrid>
        <w:gridCol w:w="5104"/>
        <w:gridCol w:w="5004"/>
      </w:tblGrid>
      <w:tr>
        <w:trPr>
          <w:cantSplit w:val="true"/>
        </w:trPr>
        <w:tc>
          <w:tcPr>
            <w:tcW w:w="10108" w:type="dxa"/>
            <w:gridSpan w:val="2"/>
            <w:tcBorders>
              <w:top w:val="single" w:sz="4" w:space="0" w:color="000000"/>
              <w:left w:val="single" w:sz="4" w:space="0" w:color="000000"/>
              <w:bottom w:val="single" w:sz="4" w:space="0" w:color="000000"/>
              <w:right w:val="single" w:sz="4" w:space="0" w:color="000000"/>
            </w:tcBorders>
          </w:tcPr>
          <w:p>
            <w:pPr>
              <w:pStyle w:val="Normal"/>
              <w:rPr/>
            </w:pPr>
            <w:r>
              <w:rPr>
                <w:rFonts w:cs="Calibri" w:ascii="Calibri" w:hAnsi="Calibri"/>
                <w:b/>
                <w:sz w:val="24"/>
                <w:szCs w:val="24"/>
              </w:rPr>
              <w:t xml:space="preserve">Post Title:  </w:t>
            </w:r>
            <w:r>
              <w:rPr>
                <w:rFonts w:cs="Calibri" w:ascii="Calibri" w:hAnsi="Calibri"/>
                <w:bCs/>
                <w:sz w:val="24"/>
                <w:szCs w:val="24"/>
              </w:rPr>
              <w:t>School Office Manager (Job Share)</w:t>
            </w:r>
            <w:r>
              <w:rPr>
                <w:rFonts w:cs="Calibri" w:ascii="Calibri" w:hAnsi="Calibri"/>
                <w:sz w:val="24"/>
                <w:szCs w:val="24"/>
              </w:rPr>
              <w:t xml:space="preserve"> </w:t>
            </w:r>
          </w:p>
          <w:p>
            <w:pPr>
              <w:pStyle w:val="Normal"/>
              <w:rPr>
                <w:rFonts w:ascii="Calibri" w:hAnsi="Calibri" w:cs="Calibri"/>
                <w:sz w:val="24"/>
                <w:szCs w:val="24"/>
              </w:rPr>
            </w:pPr>
            <w:r>
              <w:rPr>
                <w:rFonts w:cs="Calibri" w:ascii="Calibri" w:hAnsi="Calibri"/>
                <w:sz w:val="24"/>
                <w:szCs w:val="24"/>
              </w:rPr>
            </w:r>
          </w:p>
        </w:tc>
      </w:tr>
      <w:tr>
        <w:trPr/>
        <w:tc>
          <w:tcPr>
            <w:tcW w:w="5104" w:type="dxa"/>
            <w:tcBorders>
              <w:top w:val="single" w:sz="4" w:space="0" w:color="000000"/>
              <w:left w:val="single" w:sz="4" w:space="0" w:color="000000"/>
              <w:bottom w:val="single" w:sz="4" w:space="0" w:color="000000"/>
              <w:right w:val="single" w:sz="4" w:space="0" w:color="000000"/>
            </w:tcBorders>
          </w:tcPr>
          <w:p>
            <w:pPr>
              <w:pStyle w:val="Normal"/>
              <w:rPr/>
            </w:pPr>
            <w:r>
              <w:rPr>
                <w:rFonts w:cs="Calibri" w:ascii="Calibri" w:hAnsi="Calibri"/>
                <w:b/>
                <w:sz w:val="24"/>
                <w:szCs w:val="24"/>
              </w:rPr>
              <w:t xml:space="preserve">Department:     </w:t>
            </w:r>
            <w:r>
              <w:rPr>
                <w:rFonts w:cs="Calibri" w:ascii="Calibri" w:hAnsi="Calibri"/>
                <w:sz w:val="24"/>
                <w:szCs w:val="24"/>
              </w:rPr>
              <w:t xml:space="preserve">Primary Phase </w:t>
            </w:r>
          </w:p>
          <w:p>
            <w:pPr>
              <w:pStyle w:val="Normal"/>
              <w:rPr>
                <w:rFonts w:ascii="Calibri" w:hAnsi="Calibri" w:cs="Calibri"/>
                <w:sz w:val="24"/>
                <w:szCs w:val="24"/>
              </w:rPr>
            </w:pPr>
            <w:r>
              <w:rPr>
                <w:rFonts w:cs="Calibri" w:ascii="Calibri" w:hAnsi="Calibri"/>
                <w:sz w:val="24"/>
                <w:szCs w:val="24"/>
              </w:rPr>
            </w:r>
          </w:p>
        </w:tc>
        <w:tc>
          <w:tcPr>
            <w:tcW w:w="5004" w:type="dxa"/>
            <w:tcBorders>
              <w:top w:val="single" w:sz="4" w:space="0" w:color="000000"/>
              <w:left w:val="single" w:sz="4" w:space="0" w:color="000000"/>
              <w:bottom w:val="single" w:sz="4" w:space="0" w:color="000000"/>
              <w:right w:val="single" w:sz="4" w:space="0" w:color="000000"/>
            </w:tcBorders>
          </w:tcPr>
          <w:p>
            <w:pPr>
              <w:pStyle w:val="Normal"/>
              <w:rPr/>
            </w:pPr>
            <w:r>
              <w:rPr>
                <w:rFonts w:cs="Calibri" w:ascii="Calibri" w:hAnsi="Calibri"/>
                <w:b/>
                <w:sz w:val="24"/>
                <w:szCs w:val="24"/>
              </w:rPr>
              <w:t xml:space="preserve">Post Grade:  </w:t>
            </w:r>
            <w:r>
              <w:rPr>
                <w:rFonts w:cs="Calibri" w:ascii="Calibri" w:hAnsi="Calibri"/>
                <w:sz w:val="24"/>
                <w:szCs w:val="24"/>
              </w:rPr>
              <w:t>NJC Grade 8, SCP 17</w:t>
            </w:r>
          </w:p>
        </w:tc>
      </w:tr>
      <w:tr>
        <w:trPr>
          <w:trHeight w:val="419" w:hRule="atLeast"/>
        </w:trPr>
        <w:tc>
          <w:tcPr>
            <w:tcW w:w="5104" w:type="dxa"/>
            <w:tcBorders>
              <w:top w:val="single" w:sz="4" w:space="0" w:color="000000"/>
              <w:left w:val="single" w:sz="4" w:space="0" w:color="000000"/>
              <w:bottom w:val="single" w:sz="4" w:space="0" w:color="000000"/>
              <w:right w:val="single" w:sz="4" w:space="0" w:color="000000"/>
            </w:tcBorders>
          </w:tcPr>
          <w:p>
            <w:pPr>
              <w:pStyle w:val="Normal"/>
              <w:rPr/>
            </w:pPr>
            <w:r>
              <w:rPr>
                <w:rFonts w:cs="Calibri" w:ascii="Calibri" w:hAnsi="Calibri"/>
                <w:b/>
                <w:sz w:val="24"/>
                <w:szCs w:val="24"/>
              </w:rPr>
              <w:t>Location:</w:t>
            </w:r>
            <w:r>
              <w:rPr>
                <w:rFonts w:cs="Calibri" w:ascii="Calibri" w:hAnsi="Calibri"/>
                <w:sz w:val="24"/>
                <w:szCs w:val="24"/>
              </w:rPr>
              <w:t xml:space="preserve"> Emmanuel Holcombe CE (VA) Primary School</w:t>
            </w:r>
          </w:p>
        </w:tc>
        <w:tc>
          <w:tcPr>
            <w:tcW w:w="5004" w:type="dxa"/>
            <w:tcBorders>
              <w:top w:val="single" w:sz="4" w:space="0" w:color="000000"/>
              <w:left w:val="single" w:sz="4" w:space="0" w:color="000000"/>
              <w:bottom w:val="single" w:sz="4" w:space="0" w:color="000000"/>
              <w:right w:val="single" w:sz="4" w:space="0" w:color="000000"/>
            </w:tcBorders>
          </w:tcPr>
          <w:p>
            <w:pPr>
              <w:pStyle w:val="Normal"/>
              <w:rPr/>
            </w:pPr>
            <w:r>
              <w:rPr>
                <w:rFonts w:cs="Calibri" w:ascii="Calibri" w:hAnsi="Calibri"/>
                <w:b/>
                <w:sz w:val="24"/>
                <w:szCs w:val="24"/>
              </w:rPr>
              <w:t xml:space="preserve">Post Hours: </w:t>
            </w:r>
            <w:r>
              <w:rPr>
                <w:rFonts w:cs="Calibri" w:ascii="Calibri" w:hAnsi="Calibri"/>
                <w:bCs/>
                <w:sz w:val="24"/>
                <w:szCs w:val="24"/>
              </w:rPr>
              <w:t>3 days per week, Wednesday - Friday</w:t>
            </w:r>
          </w:p>
          <w:p>
            <w:pPr>
              <w:pStyle w:val="Normal"/>
              <w:rPr>
                <w:rFonts w:ascii="Calibri" w:hAnsi="Calibri" w:cs="Calibri"/>
                <w:sz w:val="24"/>
                <w:szCs w:val="24"/>
              </w:rPr>
            </w:pPr>
            <w:r>
              <w:rPr>
                <w:rFonts w:cs="Calibri" w:ascii="Calibri" w:hAnsi="Calibri"/>
                <w:sz w:val="24"/>
                <w:szCs w:val="24"/>
              </w:rPr>
            </w:r>
          </w:p>
        </w:tc>
      </w:tr>
      <w:tr>
        <w:trPr>
          <w:cantSplit w:val="true"/>
        </w:trPr>
        <w:tc>
          <w:tcPr>
            <w:tcW w:w="10108" w:type="dxa"/>
            <w:gridSpan w:val="2"/>
            <w:tcBorders>
              <w:top w:val="single" w:sz="4" w:space="0" w:color="000000"/>
              <w:left w:val="single" w:sz="4" w:space="0" w:color="000000"/>
              <w:bottom w:val="single" w:sz="4" w:space="0" w:color="000000"/>
              <w:right w:val="single" w:sz="4" w:space="0" w:color="000000"/>
            </w:tcBorders>
          </w:tcPr>
          <w:p>
            <w:pPr>
              <w:pStyle w:val="Normal"/>
              <w:rPr/>
            </w:pPr>
            <w:r>
              <w:rPr>
                <w:rFonts w:cs="Calibri" w:ascii="Calibri" w:hAnsi="Calibri"/>
                <w:b/>
                <w:sz w:val="24"/>
                <w:szCs w:val="24"/>
              </w:rPr>
              <w:t>Accountable to:</w:t>
            </w:r>
            <w:r>
              <w:rPr>
                <w:rFonts w:cs="Calibri" w:ascii="Calibri" w:hAnsi="Calibri"/>
                <w:sz w:val="24"/>
                <w:szCs w:val="24"/>
              </w:rPr>
              <w:t xml:space="preserve">  Executive Headteacher and Governing Body</w:t>
            </w:r>
          </w:p>
          <w:p>
            <w:pPr>
              <w:pStyle w:val="Normal"/>
              <w:rPr>
                <w:rFonts w:ascii="Calibri" w:hAnsi="Calibri" w:cs="Calibri"/>
                <w:sz w:val="24"/>
                <w:szCs w:val="24"/>
              </w:rPr>
            </w:pPr>
            <w:r>
              <w:rPr>
                <w:rFonts w:cs="Calibri" w:ascii="Calibri" w:hAnsi="Calibri"/>
                <w:sz w:val="24"/>
                <w:szCs w:val="24"/>
              </w:rPr>
            </w:r>
          </w:p>
        </w:tc>
      </w:tr>
      <w:tr>
        <w:trPr>
          <w:cantSplit w:val="true"/>
        </w:trPr>
        <w:tc>
          <w:tcPr>
            <w:tcW w:w="10108" w:type="dxa"/>
            <w:gridSpan w:val="2"/>
            <w:tcBorders>
              <w:top w:val="single" w:sz="4" w:space="0" w:color="000000"/>
              <w:left w:val="single" w:sz="4" w:space="0" w:color="000000"/>
              <w:bottom w:val="single" w:sz="4" w:space="0" w:color="000000"/>
              <w:right w:val="single" w:sz="4" w:space="0" w:color="000000"/>
            </w:tcBorders>
          </w:tcPr>
          <w:p>
            <w:pPr>
              <w:pStyle w:val="Normal"/>
              <w:rPr/>
            </w:pPr>
            <w:r>
              <w:rPr>
                <w:rFonts w:cs="Calibri" w:ascii="Calibri" w:hAnsi="Calibri"/>
                <w:b/>
                <w:bCs/>
                <w:sz w:val="24"/>
                <w:szCs w:val="24"/>
              </w:rPr>
              <w:t>Job Purpose:</w:t>
            </w:r>
            <w:r>
              <w:rPr>
                <w:rFonts w:cs="Calibri" w:ascii="Calibri" w:hAnsi="Calibri"/>
                <w:sz w:val="24"/>
                <w:szCs w:val="24"/>
              </w:rPr>
              <w:t xml:space="preserve"> To manage and deliver an efficient, compliant, and professional administrative and financial support service to the school, supporting the Headteacher, staff, governors, and families of Emmanuel Holcombe CE Primary School</w:t>
            </w:r>
          </w:p>
          <w:p>
            <w:pPr>
              <w:pStyle w:val="Normal"/>
              <w:rPr>
                <w:rFonts w:ascii="Calibri" w:hAnsi="Calibri" w:cs="Calibri"/>
                <w:b/>
                <w:sz w:val="24"/>
                <w:szCs w:val="24"/>
              </w:rPr>
            </w:pPr>
            <w:r>
              <w:rPr>
                <w:rFonts w:cs="Calibri" w:ascii="Calibri" w:hAnsi="Calibri"/>
                <w:b/>
                <w:sz w:val="24"/>
                <w:szCs w:val="24"/>
              </w:rPr>
            </w:r>
          </w:p>
        </w:tc>
      </w:tr>
    </w:tbl>
    <w:p>
      <w:pPr>
        <w:pStyle w:val="Normal"/>
        <w:rPr>
          <w:rFonts w:ascii="Calibri" w:hAnsi="Calibri" w:cs="Calibri"/>
        </w:rPr>
      </w:pPr>
      <w:r>
        <w:rPr>
          <w:rFonts w:cs="Calibri" w:ascii="Calibri" w:hAnsi="Calibri"/>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bl>
      <w:tblPr>
        <w:tblW w:w="10110" w:type="dxa"/>
        <w:jc w:val="left"/>
        <w:tblInd w:w="-181" w:type="dxa"/>
        <w:tblLayout w:type="fixed"/>
        <w:tblCellMar>
          <w:top w:w="0" w:type="dxa"/>
          <w:left w:w="108" w:type="dxa"/>
          <w:bottom w:w="0" w:type="dxa"/>
          <w:right w:w="108" w:type="dxa"/>
        </w:tblCellMar>
      </w:tblPr>
      <w:tblGrid>
        <w:gridCol w:w="3561"/>
        <w:gridCol w:w="3924"/>
        <w:gridCol w:w="2625"/>
      </w:tblGrid>
      <w:tr>
        <w:trPr/>
        <w:tc>
          <w:tcPr>
            <w:tcW w:w="10110"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76" w:before="0" w:after="160"/>
              <w:rPr>
                <w:rFonts w:ascii="Calibri" w:hAnsi="Calibri" w:cs="Calibri"/>
                <w:b/>
                <w:bCs/>
                <w:sz w:val="28"/>
                <w:szCs w:val="28"/>
              </w:rPr>
            </w:pPr>
            <w:r>
              <w:rPr>
                <w:rFonts w:cs="Calibri" w:ascii="Calibri" w:hAnsi="Calibri"/>
                <w:b/>
                <w:bCs/>
                <w:sz w:val="28"/>
                <w:szCs w:val="28"/>
              </w:rPr>
              <w:t>Key Responsibilities</w:t>
            </w:r>
          </w:p>
          <w:p>
            <w:pPr>
              <w:pStyle w:val="Normal"/>
              <w:spacing w:lineRule="auto" w:line="276" w:before="0" w:after="160"/>
              <w:rPr>
                <w:rFonts w:ascii="Calibri" w:hAnsi="Calibri" w:cs="Calibri"/>
                <w:b/>
                <w:bCs/>
                <w:sz w:val="24"/>
                <w:szCs w:val="24"/>
              </w:rPr>
            </w:pPr>
            <w:r>
              <w:rPr>
                <w:rFonts w:cs="Calibri" w:ascii="Calibri" w:hAnsi="Calibri"/>
                <w:b/>
                <w:bCs/>
                <w:sz w:val="24"/>
                <w:szCs w:val="24"/>
              </w:rPr>
              <w:t>1. Job Share Integration &amp; Handover</w:t>
            </w:r>
          </w:p>
          <w:p>
            <w:pPr>
              <w:pStyle w:val="Normal"/>
              <w:numPr>
                <w:ilvl w:val="0"/>
                <w:numId w:val="1"/>
              </w:numPr>
              <w:spacing w:lineRule="auto" w:line="276" w:before="0" w:after="160"/>
              <w:rPr/>
            </w:pPr>
            <w:r>
              <w:rPr>
                <w:rFonts w:cs="Calibri" w:ascii="Calibri" w:hAnsi="Calibri"/>
                <w:sz w:val="24"/>
                <w:szCs w:val="24"/>
              </w:rPr>
              <w:t>Execute a rigorous, detailed mid-week operational handover every Wednesday morning.</w:t>
            </w:r>
          </w:p>
          <w:p>
            <w:pPr>
              <w:pStyle w:val="Normal"/>
              <w:numPr>
                <w:ilvl w:val="0"/>
                <w:numId w:val="1"/>
              </w:numPr>
              <w:spacing w:lineRule="auto" w:line="276" w:before="0" w:after="160"/>
              <w:rPr/>
            </w:pPr>
            <w:r>
              <w:rPr>
                <w:rFonts w:cs="Calibri" w:ascii="Calibri" w:hAnsi="Calibri"/>
                <w:sz w:val="24"/>
                <w:szCs w:val="24"/>
              </w:rPr>
              <w:t>Review and sync tasks concerning ongoing parental queries, emergency workflows, and weekly deadlines.</w:t>
            </w:r>
          </w:p>
          <w:p>
            <w:pPr>
              <w:pStyle w:val="Normal"/>
              <w:spacing w:lineRule="auto" w:line="276" w:before="0" w:after="160"/>
              <w:ind w:left="720" w:right="0"/>
              <w:rPr>
                <w:rFonts w:ascii="Calibri" w:hAnsi="Calibri" w:cs="Calibri"/>
                <w:sz w:val="24"/>
                <w:szCs w:val="24"/>
              </w:rPr>
            </w:pPr>
            <w:r>
              <w:rPr>
                <w:rFonts w:cs="Calibri" w:ascii="Calibri" w:hAnsi="Calibri"/>
                <w:sz w:val="24"/>
                <w:szCs w:val="24"/>
              </w:rPr>
            </w:r>
          </w:p>
          <w:p>
            <w:pPr>
              <w:pStyle w:val="Normal"/>
              <w:spacing w:lineRule="auto" w:line="276" w:before="0" w:after="160"/>
              <w:rPr>
                <w:rFonts w:ascii="Calibri" w:hAnsi="Calibri" w:cs="Calibri"/>
                <w:b/>
                <w:bCs/>
                <w:sz w:val="24"/>
                <w:szCs w:val="24"/>
              </w:rPr>
            </w:pPr>
            <w:r>
              <w:rPr>
                <w:rFonts w:cs="Calibri" w:ascii="Calibri" w:hAnsi="Calibri"/>
                <w:b/>
                <w:bCs/>
                <w:sz w:val="24"/>
                <w:szCs w:val="24"/>
              </w:rPr>
              <w:t>2. Financial Management &amp; Systems Control</w:t>
            </w:r>
          </w:p>
          <w:p>
            <w:pPr>
              <w:pStyle w:val="Normal"/>
              <w:numPr>
                <w:ilvl w:val="0"/>
                <w:numId w:val="2"/>
              </w:numPr>
              <w:spacing w:lineRule="auto" w:line="276" w:before="0" w:after="160"/>
              <w:rPr/>
            </w:pPr>
            <w:r>
              <w:rPr>
                <w:rFonts w:cs="Calibri" w:ascii="Calibri" w:hAnsi="Calibri"/>
                <w:sz w:val="24"/>
                <w:szCs w:val="24"/>
              </w:rPr>
              <w:t>Local Authority Financial Systems: Manage purchase orders, process invoices, and maintain the school budget using Unit 4 and local authority accounting frameworks.</w:t>
            </w:r>
          </w:p>
          <w:p>
            <w:pPr>
              <w:pStyle w:val="Normal"/>
              <w:numPr>
                <w:ilvl w:val="0"/>
                <w:numId w:val="2"/>
              </w:numPr>
              <w:spacing w:lineRule="auto" w:line="276" w:before="0" w:after="160"/>
              <w:rPr/>
            </w:pPr>
            <w:r>
              <w:rPr>
                <w:rFonts w:cs="Calibri" w:ascii="Calibri" w:hAnsi="Calibri"/>
                <w:sz w:val="24"/>
                <w:szCs w:val="24"/>
              </w:rPr>
              <w:t>Income Generation &amp; Debts: Calculate, invoice, and chase fees for preschool, school dinners, sports clubs, trips, and wraparound care.</w:t>
            </w:r>
          </w:p>
          <w:p>
            <w:pPr>
              <w:pStyle w:val="Normal"/>
              <w:numPr>
                <w:ilvl w:val="0"/>
                <w:numId w:val="2"/>
              </w:numPr>
              <w:spacing w:lineRule="auto" w:line="276" w:before="0" w:after="160"/>
              <w:rPr/>
            </w:pPr>
            <w:r>
              <w:rPr>
                <w:rFonts w:cs="Calibri" w:ascii="Calibri" w:hAnsi="Calibri"/>
                <w:sz w:val="24"/>
                <w:szCs w:val="24"/>
              </w:rPr>
              <w:t xml:space="preserve">Submit preschool funding </w:t>
            </w:r>
          </w:p>
          <w:p>
            <w:pPr>
              <w:pStyle w:val="Normal"/>
              <w:numPr>
                <w:ilvl w:val="0"/>
                <w:numId w:val="2"/>
              </w:numPr>
              <w:spacing w:lineRule="auto" w:line="276" w:before="0" w:after="160"/>
              <w:rPr/>
            </w:pPr>
            <w:r>
              <w:rPr>
                <w:rFonts w:cs="Calibri" w:ascii="Calibri" w:hAnsi="Calibri"/>
                <w:sz w:val="24"/>
                <w:szCs w:val="24"/>
              </w:rPr>
              <w:t>Manage the school bank accounts: Administer, reconcile, and prepare the School Fund accounts for annual review and compliance reporting.</w:t>
            </w:r>
          </w:p>
          <w:p>
            <w:pPr>
              <w:pStyle w:val="Normal"/>
              <w:numPr>
                <w:ilvl w:val="0"/>
                <w:numId w:val="2"/>
              </w:numPr>
              <w:spacing w:lineRule="auto" w:line="276" w:before="0" w:after="160"/>
              <w:rPr/>
            </w:pPr>
            <w:r>
              <w:rPr>
                <w:rFonts w:cs="Calibri" w:ascii="Calibri" w:hAnsi="Calibri"/>
                <w:sz w:val="24"/>
                <w:szCs w:val="24"/>
              </w:rPr>
              <w:t>Catering Reconciliation: Reconcile daily meal counts with the school cook, balance the dinner register weekly, and submit the PM2 summary to Bury Catering Finance.</w:t>
            </w:r>
          </w:p>
          <w:p>
            <w:pPr>
              <w:pStyle w:val="Normal"/>
              <w:spacing w:lineRule="auto" w:line="276" w:before="0" w:after="160"/>
              <w:rPr>
                <w:rFonts w:ascii="Calibri" w:hAnsi="Calibri" w:cs="Calibri"/>
                <w:sz w:val="24"/>
                <w:szCs w:val="24"/>
              </w:rPr>
            </w:pPr>
            <w:r>
              <w:rPr>
                <w:rFonts w:cs="Calibri" w:ascii="Calibri" w:hAnsi="Calibri"/>
                <w:sz w:val="24"/>
                <w:szCs w:val="24"/>
              </w:rPr>
            </w:r>
          </w:p>
          <w:p>
            <w:pPr>
              <w:pStyle w:val="Normal"/>
              <w:spacing w:lineRule="auto" w:line="276" w:before="0" w:after="160"/>
              <w:rPr>
                <w:rFonts w:ascii="Calibri" w:hAnsi="Calibri" w:cs="Calibri"/>
                <w:b/>
                <w:bCs/>
                <w:sz w:val="24"/>
                <w:szCs w:val="24"/>
              </w:rPr>
            </w:pPr>
            <w:r>
              <w:rPr>
                <w:rFonts w:cs="Calibri" w:ascii="Calibri" w:hAnsi="Calibri"/>
                <w:b/>
                <w:bCs/>
                <w:sz w:val="24"/>
                <w:szCs w:val="24"/>
              </w:rPr>
              <w:t>3. Information Management &amp; Statutory Returns</w:t>
            </w:r>
          </w:p>
          <w:p>
            <w:pPr>
              <w:pStyle w:val="Normal"/>
              <w:numPr>
                <w:ilvl w:val="0"/>
                <w:numId w:val="3"/>
              </w:numPr>
              <w:spacing w:lineRule="auto" w:line="276" w:before="0" w:after="160"/>
              <w:rPr/>
            </w:pPr>
            <w:r>
              <w:rPr>
                <w:rFonts w:cs="Calibri" w:ascii="Calibri" w:hAnsi="Calibri"/>
                <w:sz w:val="24"/>
                <w:szCs w:val="24"/>
              </w:rPr>
              <w:t>Pupil Data Management: Oversee and audit the Arbor MIS database, including managing registrations, data amendments, and the annual year-end rollover.</w:t>
            </w:r>
          </w:p>
          <w:p>
            <w:pPr>
              <w:pStyle w:val="Normal"/>
              <w:numPr>
                <w:ilvl w:val="0"/>
                <w:numId w:val="3"/>
              </w:numPr>
              <w:spacing w:lineRule="auto" w:line="276" w:before="0" w:after="160"/>
              <w:rPr/>
            </w:pPr>
            <w:r>
              <w:rPr>
                <w:rFonts w:cs="Calibri" w:ascii="Calibri" w:hAnsi="Calibri"/>
                <w:sz w:val="24"/>
                <w:szCs w:val="24"/>
              </w:rPr>
              <w:t>Statutory School Returns: Coordinate, dry-run, and submit the statutory School Census (January, May, October) and Early Years Headcount returns.</w:t>
            </w:r>
          </w:p>
          <w:p>
            <w:pPr>
              <w:pStyle w:val="Normal"/>
              <w:numPr>
                <w:ilvl w:val="0"/>
                <w:numId w:val="3"/>
              </w:numPr>
              <w:spacing w:lineRule="auto" w:line="276" w:before="0" w:after="160"/>
              <w:rPr/>
            </w:pPr>
            <w:r>
              <w:rPr>
                <w:rFonts w:cs="Calibri" w:ascii="Calibri" w:hAnsi="Calibri"/>
                <w:sz w:val="24"/>
                <w:szCs w:val="24"/>
              </w:rPr>
              <w:t>Admissions &amp; Intakes: Manage the SAM (Synergy) admissions portal, ranking applications, managing sibling links, and compiling induction packs for new intakes.</w:t>
            </w:r>
          </w:p>
          <w:p>
            <w:pPr>
              <w:pStyle w:val="Normal"/>
              <w:spacing w:lineRule="auto" w:line="276" w:before="0" w:after="160"/>
              <w:rPr>
                <w:rFonts w:ascii="Calibri" w:hAnsi="Calibri" w:cs="Calibri"/>
                <w:b/>
                <w:bCs/>
                <w:sz w:val="24"/>
                <w:szCs w:val="24"/>
              </w:rPr>
            </w:pPr>
            <w:r>
              <w:rPr>
                <w:rFonts w:cs="Calibri" w:ascii="Calibri" w:hAnsi="Calibri"/>
                <w:b/>
                <w:bCs/>
                <w:sz w:val="24"/>
                <w:szCs w:val="24"/>
              </w:rPr>
              <w:t>4. Attendance, Safeguarding &amp; HR Compliance</w:t>
            </w:r>
          </w:p>
          <w:p>
            <w:pPr>
              <w:pStyle w:val="Normal"/>
              <w:numPr>
                <w:ilvl w:val="0"/>
                <w:numId w:val="4"/>
              </w:numPr>
              <w:spacing w:lineRule="auto" w:line="276" w:before="0" w:after="160"/>
              <w:rPr/>
            </w:pPr>
            <w:r>
              <w:rPr>
                <w:rFonts w:cs="Calibri" w:ascii="Calibri" w:hAnsi="Calibri"/>
                <w:sz w:val="24"/>
                <w:szCs w:val="24"/>
              </w:rPr>
              <w:t xml:space="preserve">Attendance: Resolve morning absences, monitor voice/text messages, issue parental alerts, and escalate unexplained absences. Deal with requests for absence following Bury Council process. </w:t>
            </w:r>
          </w:p>
          <w:p>
            <w:pPr>
              <w:pStyle w:val="Normal"/>
              <w:numPr>
                <w:ilvl w:val="0"/>
                <w:numId w:val="4"/>
              </w:numPr>
              <w:spacing w:lineRule="auto" w:line="276" w:before="0" w:after="160"/>
              <w:rPr/>
            </w:pPr>
            <w:r>
              <w:rPr>
                <w:rFonts w:cs="Calibri" w:ascii="Calibri" w:hAnsi="Calibri"/>
                <w:sz w:val="24"/>
                <w:szCs w:val="24"/>
              </w:rPr>
              <w:t>HR &amp; Payroll Systems: Track staff sickness, record absences, and submit monthly staff timesheets via iTrent.</w:t>
            </w:r>
          </w:p>
          <w:p>
            <w:pPr>
              <w:pStyle w:val="Normal"/>
              <w:numPr>
                <w:ilvl w:val="0"/>
                <w:numId w:val="4"/>
              </w:numPr>
              <w:spacing w:lineRule="auto" w:line="276" w:before="0" w:after="160"/>
              <w:rPr/>
            </w:pPr>
            <w:r>
              <w:rPr>
                <w:rFonts w:cs="Calibri" w:ascii="Calibri" w:hAnsi="Calibri"/>
                <w:sz w:val="24"/>
                <w:szCs w:val="24"/>
              </w:rPr>
              <w:t>Safeguarding (SCR): Maintain and update the Single Central Record (SCR), manage and process DBS checks and administer staff compliance for KCSIE/GDPR.</w:t>
            </w:r>
          </w:p>
          <w:p>
            <w:pPr>
              <w:pStyle w:val="Normal"/>
              <w:numPr>
                <w:ilvl w:val="0"/>
                <w:numId w:val="4"/>
              </w:numPr>
              <w:spacing w:lineRule="auto" w:line="276" w:before="0" w:after="160"/>
              <w:rPr/>
            </w:pPr>
            <w:r>
              <w:rPr>
                <w:rFonts w:cs="Calibri" w:ascii="Calibri" w:hAnsi="Calibri"/>
                <w:sz w:val="24"/>
                <w:szCs w:val="24"/>
              </w:rPr>
              <w:t>Recruitment: administer and follow recruitment process for school recruitment in line with Safer Recruitment guidelines.</w:t>
            </w:r>
          </w:p>
          <w:p>
            <w:pPr>
              <w:pStyle w:val="Normal"/>
              <w:numPr>
                <w:ilvl w:val="0"/>
                <w:numId w:val="4"/>
              </w:numPr>
              <w:spacing w:lineRule="auto" w:line="276" w:before="0" w:after="160"/>
              <w:rPr/>
            </w:pPr>
            <w:r>
              <w:rPr>
                <w:rFonts w:cs="Calibri" w:ascii="Calibri" w:hAnsi="Calibri"/>
                <w:sz w:val="24"/>
                <w:szCs w:val="24"/>
              </w:rPr>
              <w:t>Manage staff training to ensure school compliance with mandatory requirements.</w:t>
            </w:r>
          </w:p>
          <w:p>
            <w:pPr>
              <w:pStyle w:val="Normal"/>
              <w:spacing w:lineRule="auto" w:line="276" w:before="0" w:after="160"/>
              <w:rPr>
                <w:rFonts w:ascii="Calibri" w:hAnsi="Calibri" w:cs="Calibri"/>
                <w:b/>
                <w:bCs/>
                <w:sz w:val="24"/>
                <w:szCs w:val="24"/>
              </w:rPr>
            </w:pPr>
            <w:r>
              <w:rPr>
                <w:rFonts w:cs="Calibri" w:ascii="Calibri" w:hAnsi="Calibri"/>
                <w:b/>
                <w:bCs/>
                <w:sz w:val="24"/>
                <w:szCs w:val="24"/>
              </w:rPr>
              <w:t>5. Communications &amp; Operational Support</w:t>
            </w:r>
          </w:p>
          <w:p>
            <w:pPr>
              <w:pStyle w:val="Normal"/>
              <w:numPr>
                <w:ilvl w:val="0"/>
                <w:numId w:val="5"/>
              </w:numPr>
              <w:spacing w:lineRule="auto" w:line="276" w:before="0" w:after="160"/>
              <w:rPr/>
            </w:pPr>
            <w:r>
              <w:rPr>
                <w:rFonts w:cs="Calibri" w:ascii="Calibri" w:hAnsi="Calibri"/>
                <w:sz w:val="24"/>
                <w:szCs w:val="24"/>
              </w:rPr>
              <w:t>School Communications: edit and distribute the monthly school newsletter and coordinate weekly digital letters/consent forms.</w:t>
            </w:r>
          </w:p>
          <w:p>
            <w:pPr>
              <w:pStyle w:val="Normal"/>
              <w:numPr>
                <w:ilvl w:val="0"/>
                <w:numId w:val="5"/>
              </w:numPr>
              <w:spacing w:lineRule="auto" w:line="276" w:before="0" w:after="160"/>
              <w:rPr/>
            </w:pPr>
            <w:r>
              <w:rPr>
                <w:rFonts w:cs="Calibri" w:ascii="Calibri" w:hAnsi="Calibri"/>
                <w:sz w:val="24"/>
                <w:szCs w:val="24"/>
              </w:rPr>
              <w:t>Website &amp; Compliance Audit: Regularly update the school website with policy links and remove outdated digital media to maintain compliance.</w:t>
            </w:r>
          </w:p>
          <w:p>
            <w:pPr>
              <w:pStyle w:val="Normal"/>
              <w:numPr>
                <w:ilvl w:val="0"/>
                <w:numId w:val="5"/>
              </w:numPr>
              <w:spacing w:lineRule="auto" w:line="276" w:before="0" w:after="160"/>
              <w:rPr/>
            </w:pPr>
            <w:r>
              <w:rPr>
                <w:rFonts w:cs="Calibri" w:ascii="Calibri" w:hAnsi="Calibri"/>
                <w:sz w:val="24"/>
                <w:szCs w:val="24"/>
              </w:rPr>
              <w:t>Vendor &amp; Contract Management: Procure quotes, secure bookings for school trips, handle stationery/caretaking stock control, and negotiate annual service contract renewals.</w:t>
            </w:r>
          </w:p>
          <w:p>
            <w:pPr>
              <w:pStyle w:val="Normal"/>
              <w:spacing w:lineRule="auto" w:line="276" w:before="0" w:after="160"/>
              <w:rPr>
                <w:rFonts w:ascii="Calibri" w:hAnsi="Calibri" w:cs="Calibri"/>
                <w:b/>
                <w:bCs/>
                <w:sz w:val="24"/>
                <w:szCs w:val="24"/>
              </w:rPr>
            </w:pPr>
            <w:r>
              <w:rPr>
                <w:rFonts w:cs="Calibri" w:ascii="Calibri" w:hAnsi="Calibri"/>
                <w:b/>
                <w:bCs/>
                <w:sz w:val="24"/>
                <w:szCs w:val="24"/>
              </w:rPr>
              <w:t>6. Front of House &amp; Community Relations</w:t>
            </w:r>
          </w:p>
          <w:p>
            <w:pPr>
              <w:pStyle w:val="Normal"/>
              <w:numPr>
                <w:ilvl w:val="0"/>
                <w:numId w:val="6"/>
              </w:numPr>
              <w:spacing w:lineRule="auto" w:line="276" w:before="0" w:after="160"/>
              <w:rPr/>
            </w:pPr>
            <w:r>
              <w:rPr>
                <w:rFonts w:cs="Calibri" w:ascii="Calibri" w:hAnsi="Calibri"/>
                <w:sz w:val="24"/>
                <w:szCs w:val="24"/>
              </w:rPr>
              <w:t>Act as the professional face of the school, welcoming visitors, managing the phone lines, and arranging school viewings.</w:t>
            </w:r>
          </w:p>
          <w:p>
            <w:pPr>
              <w:pStyle w:val="Normal"/>
              <w:numPr>
                <w:ilvl w:val="0"/>
                <w:numId w:val="6"/>
              </w:numPr>
              <w:spacing w:lineRule="auto" w:line="276" w:before="0" w:after="160"/>
              <w:rPr/>
            </w:pPr>
            <w:r>
              <w:rPr>
                <w:rFonts w:cs="Calibri" w:ascii="Calibri" w:hAnsi="Calibri"/>
                <w:sz w:val="24"/>
                <w:szCs w:val="24"/>
              </w:rPr>
              <w:t>Handle all public-facing inquiries with the warmth, discretion, and confidentiality required in a small village school environment.</w:t>
            </w:r>
          </w:p>
          <w:p>
            <w:pPr>
              <w:pStyle w:val="Normal"/>
              <w:spacing w:lineRule="auto" w:line="276" w:before="0" w:after="160"/>
              <w:rPr>
                <w:rFonts w:ascii="Calibri" w:hAnsi="Calibri" w:cs="Calibri"/>
                <w:b/>
                <w:bCs/>
                <w:sz w:val="24"/>
                <w:szCs w:val="24"/>
              </w:rPr>
            </w:pPr>
            <w:r>
              <w:rPr>
                <w:rFonts w:cs="Calibri" w:ascii="Calibri" w:hAnsi="Calibri"/>
                <w:b/>
                <w:bCs/>
                <w:sz w:val="24"/>
                <w:szCs w:val="24"/>
              </w:rPr>
              <w:t>7. Professional Development</w:t>
            </w:r>
          </w:p>
          <w:p>
            <w:pPr>
              <w:pStyle w:val="ListParagraph"/>
              <w:numPr>
                <w:ilvl w:val="0"/>
                <w:numId w:val="9"/>
              </w:numPr>
              <w:spacing w:lineRule="atLeast" w:line="300"/>
              <w:rPr/>
            </w:pPr>
            <w:r>
              <w:rPr>
                <w:rFonts w:cs="Calibri" w:ascii="Calibri" w:hAnsi="Calibri"/>
                <w:sz w:val="24"/>
                <w:szCs w:val="24"/>
              </w:rPr>
              <w:t xml:space="preserve">Keep up to date with current educational development through the vehicle of IT, reading and research quality professional training opportunities.   </w:t>
            </w:r>
          </w:p>
          <w:p>
            <w:pPr>
              <w:pStyle w:val="ListParagraph"/>
              <w:numPr>
                <w:ilvl w:val="0"/>
                <w:numId w:val="9"/>
              </w:numPr>
              <w:spacing w:lineRule="atLeast" w:line="300"/>
              <w:rPr/>
            </w:pPr>
            <w:r>
              <w:rPr>
                <w:rFonts w:cs="Segoe UI" w:ascii="Segoe UI" w:hAnsi="Segoe UI"/>
                <w:sz w:val="21"/>
                <w:szCs w:val="21"/>
              </w:rPr>
              <w:t>Maintain awareness of developments relevant to the role through training, professional development and effective use of school information systems.</w:t>
            </w:r>
          </w:p>
          <w:p>
            <w:pPr>
              <w:pStyle w:val="Normal"/>
              <w:jc w:val="both"/>
              <w:rPr>
                <w:rFonts w:ascii="Calibri" w:hAnsi="Calibri" w:cs="Calibri"/>
                <w:sz w:val="24"/>
                <w:szCs w:val="24"/>
              </w:rPr>
            </w:pPr>
            <w:r>
              <w:rPr>
                <w:rFonts w:cs="Calibri" w:ascii="Calibri" w:hAnsi="Calibri"/>
                <w:sz w:val="24"/>
                <w:szCs w:val="24"/>
              </w:rPr>
            </w:r>
          </w:p>
          <w:p>
            <w:pPr>
              <w:pStyle w:val="ListParagraph"/>
              <w:jc w:val="both"/>
              <w:rPr>
                <w:rFonts w:ascii="Calibri" w:hAnsi="Calibri" w:cs="Calibri"/>
                <w:sz w:val="24"/>
                <w:szCs w:val="24"/>
              </w:rPr>
            </w:pPr>
            <w:r>
              <w:rPr>
                <w:rFonts w:cs="Calibri" w:ascii="Calibri" w:hAnsi="Calibri"/>
                <w:sz w:val="24"/>
                <w:szCs w:val="24"/>
              </w:rPr>
            </w:r>
          </w:p>
          <w:p>
            <w:pPr>
              <w:pStyle w:val="ListParagraph"/>
              <w:numPr>
                <w:ilvl w:val="0"/>
                <w:numId w:val="8"/>
              </w:numPr>
              <w:rPr/>
            </w:pPr>
            <w:r>
              <w:rPr>
                <w:rFonts w:cs="Calibri" w:ascii="Calibri" w:hAnsi="Calibri"/>
                <w:sz w:val="24"/>
                <w:szCs w:val="24"/>
              </w:rPr>
              <w:t>To participate in a range of relevant professional development activities.</w:t>
            </w:r>
          </w:p>
          <w:p>
            <w:pPr>
              <w:pStyle w:val="Normal"/>
              <w:rPr>
                <w:rFonts w:ascii="Calibri" w:hAnsi="Calibri" w:cs="Calibri"/>
                <w:sz w:val="24"/>
                <w:szCs w:val="24"/>
              </w:rPr>
            </w:pPr>
            <w:r>
              <w:rPr>
                <w:rFonts w:cs="Calibri" w:ascii="Calibri" w:hAnsi="Calibri"/>
                <w:sz w:val="24"/>
                <w:szCs w:val="24"/>
              </w:rPr>
            </w:r>
          </w:p>
          <w:p>
            <w:pPr>
              <w:pStyle w:val="Normal"/>
              <w:spacing w:lineRule="atLeast" w:line="300"/>
              <w:rPr/>
            </w:pPr>
            <w:r>
              <w:rPr>
                <w:rFonts w:cs="Calibri" w:ascii="Calibri" w:hAnsi="Calibri"/>
                <w:b/>
                <w:bCs/>
                <w:sz w:val="24"/>
                <w:szCs w:val="24"/>
              </w:rPr>
              <w:t>NB:</w:t>
            </w:r>
            <w:r>
              <w:rPr>
                <w:rFonts w:cs="Calibri" w:ascii="Calibri" w:hAnsi="Calibri"/>
                <w:sz w:val="24"/>
                <w:szCs w:val="24"/>
              </w:rPr>
              <w:t xml:space="preserve"> To perform any other duties that the Executive Headteacher or SLT may from time to time ask the post holder to perform.  </w:t>
            </w:r>
            <w:r>
              <w:rPr>
                <w:rFonts w:cs="Segoe UI" w:ascii="Segoe UI" w:hAnsi="Segoe UI"/>
                <w:sz w:val="21"/>
                <w:szCs w:val="21"/>
              </w:rPr>
              <w:t>To carry out such other duties as may reasonably be required by the Executive Headteacher or Senior Leadership Team, consistent with the nature and level of the post</w:t>
            </w:r>
          </w:p>
          <w:p>
            <w:pPr>
              <w:pStyle w:val="Normal"/>
              <w:jc w:val="both"/>
              <w:rPr>
                <w:rFonts w:ascii="Calibri" w:hAnsi="Calibri" w:cs="Calibri"/>
                <w:sz w:val="24"/>
                <w:szCs w:val="24"/>
              </w:rPr>
            </w:pPr>
            <w:r>
              <w:rPr>
                <w:rFonts w:cs="Calibri" w:ascii="Calibri" w:hAnsi="Calibri"/>
                <w:sz w:val="24"/>
                <w:szCs w:val="24"/>
              </w:rPr>
            </w:r>
          </w:p>
          <w:p>
            <w:pPr>
              <w:pStyle w:val="Normal"/>
              <w:spacing w:lineRule="auto" w:line="276" w:before="0" w:after="160"/>
              <w:rPr>
                <w:rFonts w:ascii="Calibri" w:hAnsi="Calibri" w:cs="Calibri"/>
                <w:b/>
                <w:bCs/>
                <w:sz w:val="24"/>
                <w:szCs w:val="24"/>
              </w:rPr>
            </w:pPr>
            <w:r>
              <w:rPr>
                <w:rFonts w:cs="Calibri" w:ascii="Calibri" w:hAnsi="Calibri"/>
                <w:b/>
                <w:bCs/>
                <w:sz w:val="24"/>
                <w:szCs w:val="24"/>
              </w:rPr>
            </w:r>
          </w:p>
          <w:p>
            <w:pPr>
              <w:pStyle w:val="Normal"/>
              <w:spacing w:lineRule="auto" w:line="276" w:before="0" w:after="160"/>
              <w:rPr>
                <w:rFonts w:ascii="Calibri" w:hAnsi="Calibri" w:cs="Calibri"/>
                <w:b/>
                <w:bCs/>
                <w:sz w:val="24"/>
                <w:szCs w:val="24"/>
              </w:rPr>
            </w:pPr>
            <w:r>
              <w:rPr>
                <w:rFonts w:cs="Calibri" w:ascii="Calibri" w:hAnsi="Calibri"/>
                <w:b/>
                <w:bCs/>
                <w:sz w:val="24"/>
                <w:szCs w:val="24"/>
              </w:rPr>
              <w:t>Core Systems Used Daily</w:t>
            </w:r>
          </w:p>
          <w:p>
            <w:pPr>
              <w:pStyle w:val="Normal"/>
              <w:numPr>
                <w:ilvl w:val="0"/>
                <w:numId w:val="7"/>
              </w:numPr>
              <w:spacing w:lineRule="auto" w:line="276"/>
              <w:rPr/>
            </w:pPr>
            <w:r>
              <w:rPr>
                <w:rFonts w:cs="Calibri" w:ascii="Calibri" w:hAnsi="Calibri"/>
                <w:sz w:val="24"/>
                <w:szCs w:val="24"/>
              </w:rPr>
              <w:t>Arbor (Pupil Database &amp; Census)</w:t>
            </w:r>
          </w:p>
          <w:p>
            <w:pPr>
              <w:pStyle w:val="Normal"/>
              <w:numPr>
                <w:ilvl w:val="0"/>
                <w:numId w:val="7"/>
              </w:numPr>
              <w:spacing w:lineRule="auto" w:line="276"/>
              <w:rPr/>
            </w:pPr>
            <w:r>
              <w:rPr>
                <w:rFonts w:cs="Calibri" w:ascii="Calibri" w:hAnsi="Calibri"/>
                <w:sz w:val="24"/>
                <w:szCs w:val="24"/>
              </w:rPr>
              <w:t>Unit 4 (Bury Council Finance &amp; Budgets)</w:t>
            </w:r>
          </w:p>
          <w:p>
            <w:pPr>
              <w:pStyle w:val="Normal"/>
              <w:numPr>
                <w:ilvl w:val="0"/>
                <w:numId w:val="7"/>
              </w:numPr>
              <w:spacing w:lineRule="auto" w:line="276"/>
              <w:rPr/>
            </w:pPr>
            <w:r>
              <w:rPr>
                <w:rFonts w:cs="Calibri" w:ascii="Calibri" w:hAnsi="Calibri"/>
                <w:sz w:val="24"/>
                <w:szCs w:val="24"/>
              </w:rPr>
              <w:t>SchoolMoney / Teachers2Parents (Parental Pay &amp; Communication)</w:t>
            </w:r>
          </w:p>
          <w:p>
            <w:pPr>
              <w:pStyle w:val="Normal"/>
              <w:numPr>
                <w:ilvl w:val="0"/>
                <w:numId w:val="7"/>
              </w:numPr>
              <w:spacing w:lineRule="auto" w:line="276"/>
              <w:rPr/>
            </w:pPr>
            <w:r>
              <w:rPr>
                <w:rFonts w:cs="Calibri" w:ascii="Calibri" w:hAnsi="Calibri"/>
                <w:sz w:val="24"/>
                <w:szCs w:val="24"/>
              </w:rPr>
              <w:t>iTrent (Staff Payroll &amp; Absence)</w:t>
            </w:r>
          </w:p>
          <w:p>
            <w:pPr>
              <w:pStyle w:val="Normal"/>
              <w:numPr>
                <w:ilvl w:val="0"/>
                <w:numId w:val="7"/>
              </w:numPr>
              <w:spacing w:lineRule="auto" w:line="276"/>
              <w:rPr/>
            </w:pPr>
            <w:r>
              <w:rPr>
                <w:rFonts w:cs="Calibri" w:ascii="Calibri" w:hAnsi="Calibri"/>
                <w:sz w:val="24"/>
                <w:szCs w:val="24"/>
              </w:rPr>
              <w:t xml:space="preserve">SAM (Bury Admissions Portal) </w:t>
            </w:r>
          </w:p>
          <w:p>
            <w:pPr>
              <w:pStyle w:val="Normal"/>
              <w:numPr>
                <w:ilvl w:val="0"/>
                <w:numId w:val="7"/>
              </w:numPr>
              <w:spacing w:lineRule="auto" w:line="276"/>
              <w:rPr/>
            </w:pPr>
            <w:r>
              <w:rPr>
                <w:rFonts w:cs="Calibri" w:ascii="Calibri" w:hAnsi="Calibri"/>
                <w:sz w:val="24"/>
                <w:szCs w:val="24"/>
              </w:rPr>
              <w:t>Eportal</w:t>
            </w:r>
          </w:p>
          <w:p>
            <w:pPr>
              <w:pStyle w:val="Normal"/>
              <w:numPr>
                <w:ilvl w:val="0"/>
                <w:numId w:val="7"/>
              </w:numPr>
              <w:spacing w:lineRule="auto" w:line="276"/>
              <w:rPr/>
            </w:pPr>
            <w:r>
              <w:rPr>
                <w:rFonts w:cs="Calibri" w:ascii="Calibri" w:hAnsi="Calibri"/>
                <w:sz w:val="24"/>
                <w:szCs w:val="24"/>
              </w:rPr>
              <w:t>Synergy</w:t>
            </w:r>
          </w:p>
          <w:p>
            <w:pPr>
              <w:pStyle w:val="Normal"/>
              <w:numPr>
                <w:ilvl w:val="0"/>
                <w:numId w:val="7"/>
              </w:numPr>
              <w:spacing w:lineRule="auto" w:line="276"/>
              <w:rPr/>
            </w:pPr>
            <w:r>
              <w:rPr>
                <w:rFonts w:cs="Calibri" w:ascii="Calibri" w:hAnsi="Calibri"/>
                <w:sz w:val="24"/>
                <w:szCs w:val="24"/>
              </w:rPr>
              <w:t>National College</w:t>
            </w:r>
          </w:p>
          <w:p>
            <w:pPr>
              <w:pStyle w:val="Normal"/>
              <w:numPr>
                <w:ilvl w:val="0"/>
                <w:numId w:val="7"/>
              </w:numPr>
              <w:spacing w:lineRule="auto" w:line="276"/>
              <w:rPr/>
            </w:pPr>
            <w:r>
              <w:rPr>
                <w:rFonts w:cs="Calibri" w:ascii="Calibri" w:hAnsi="Calibri"/>
                <w:sz w:val="24"/>
                <w:szCs w:val="24"/>
              </w:rPr>
              <w:t>CPOMS</w:t>
            </w:r>
          </w:p>
          <w:p>
            <w:pPr>
              <w:pStyle w:val="Normal"/>
              <w:spacing w:lineRule="auto" w:line="276"/>
              <w:ind w:left="720" w:right="0"/>
              <w:rPr>
                <w:rFonts w:ascii="Calibri" w:hAnsi="Calibri" w:cs="Calibri"/>
                <w:sz w:val="24"/>
                <w:szCs w:val="24"/>
              </w:rPr>
            </w:pPr>
            <w:r>
              <w:rPr>
                <w:rFonts w:cs="Calibri" w:ascii="Calibri" w:hAnsi="Calibri"/>
                <w:sz w:val="24"/>
                <w:szCs w:val="24"/>
              </w:rPr>
            </w:r>
          </w:p>
          <w:p>
            <w:pPr>
              <w:pStyle w:val="Normal"/>
              <w:jc w:val="both"/>
              <w:rPr>
                <w:rFonts w:ascii="Calibri" w:hAnsi="Calibri" w:cs="Calibri"/>
                <w:b/>
                <w:sz w:val="24"/>
                <w:szCs w:val="24"/>
                <w:u w:val="single"/>
              </w:rPr>
            </w:pPr>
            <w:r>
              <w:rPr>
                <w:rFonts w:cs="Calibri" w:ascii="Calibri" w:hAnsi="Calibri"/>
                <w:b/>
                <w:sz w:val="24"/>
                <w:szCs w:val="24"/>
                <w:u w:val="single"/>
              </w:rPr>
              <w:t>RELATIONSHIPS</w:t>
            </w:r>
          </w:p>
          <w:p>
            <w:pPr>
              <w:pStyle w:val="Header"/>
              <w:numPr>
                <w:ilvl w:val="0"/>
                <w:numId w:val="8"/>
              </w:numPr>
              <w:jc w:val="both"/>
              <w:rPr/>
            </w:pPr>
            <w:r>
              <w:rPr>
                <w:rFonts w:cs="Calibri" w:ascii="Calibri" w:hAnsi="Calibri"/>
                <w:sz w:val="24"/>
                <w:szCs w:val="24"/>
              </w:rPr>
              <w:t xml:space="preserve">The post holder is accountable to the Executive Headteacher, SLT and Governing Body. </w:t>
            </w:r>
          </w:p>
          <w:p>
            <w:pPr>
              <w:pStyle w:val="Header"/>
              <w:numPr>
                <w:ilvl w:val="0"/>
                <w:numId w:val="8"/>
              </w:numPr>
              <w:jc w:val="both"/>
              <w:rPr/>
            </w:pPr>
            <w:r>
              <w:rPr>
                <w:rFonts w:cs="Calibri" w:ascii="Calibri" w:hAnsi="Calibri"/>
                <w:sz w:val="24"/>
                <w:szCs w:val="24"/>
              </w:rPr>
              <w:t xml:space="preserve">The post holder is line managed by the Executive Headteacher. </w:t>
            </w:r>
          </w:p>
          <w:p>
            <w:pPr>
              <w:pStyle w:val="Header"/>
              <w:numPr>
                <w:ilvl w:val="0"/>
                <w:numId w:val="8"/>
              </w:numPr>
              <w:jc w:val="both"/>
              <w:rPr/>
            </w:pPr>
            <w:r>
              <w:rPr>
                <w:rFonts w:cs="Calibri" w:ascii="Calibri" w:hAnsi="Calibri"/>
                <w:sz w:val="24"/>
                <w:szCs w:val="24"/>
              </w:rPr>
              <w:t xml:space="preserve">The post holder should interact on a professional level with all colleagues and seek to establish and maintain productive relationships with them. </w:t>
            </w:r>
          </w:p>
          <w:p>
            <w:pPr>
              <w:pStyle w:val="Normal"/>
              <w:rPr>
                <w:rFonts w:ascii="Calibri" w:hAnsi="Calibri" w:cs="Calibri"/>
                <w:sz w:val="24"/>
                <w:szCs w:val="24"/>
              </w:rPr>
            </w:pPr>
            <w:r>
              <w:rPr>
                <w:rFonts w:cs="Calibri" w:ascii="Calibri" w:hAnsi="Calibri"/>
                <w:sz w:val="24"/>
                <w:szCs w:val="24"/>
              </w:rPr>
            </w:r>
          </w:p>
          <w:p>
            <w:pPr>
              <w:pStyle w:val="Normal"/>
              <w:rPr>
                <w:rFonts w:ascii="Calibri" w:hAnsi="Calibri" w:cs="Calibri"/>
                <w:b/>
                <w:sz w:val="24"/>
                <w:szCs w:val="24"/>
                <w:u w:val="single"/>
              </w:rPr>
            </w:pPr>
            <w:r>
              <w:rPr>
                <w:rFonts w:cs="Calibri" w:ascii="Calibri" w:hAnsi="Calibri"/>
                <w:b/>
                <w:sz w:val="24"/>
                <w:szCs w:val="24"/>
                <w:u w:val="single"/>
              </w:rPr>
              <w:t>HEALTH AND SAFETY</w:t>
            </w:r>
          </w:p>
          <w:p>
            <w:pPr>
              <w:pStyle w:val="Normal"/>
              <w:rPr/>
            </w:pPr>
            <w:r>
              <w:rPr>
                <w:rFonts w:cs="Calibri" w:ascii="Calibri" w:hAnsi="Calibri"/>
                <w:sz w:val="24"/>
                <w:szCs w:val="24"/>
              </w:rPr>
              <w:t xml:space="preserve">All members of staff have a </w:t>
            </w:r>
            <w:r>
              <w:rPr>
                <w:rFonts w:cs="Calibri" w:ascii="Calibri" w:hAnsi="Calibri"/>
                <w:b/>
                <w:sz w:val="24"/>
                <w:szCs w:val="24"/>
                <w:u w:val="single"/>
              </w:rPr>
              <w:t>duty</w:t>
            </w:r>
            <w:r>
              <w:rPr>
                <w:rFonts w:cs="Calibri" w:ascii="Calibri" w:hAnsi="Calibri"/>
                <w:sz w:val="24"/>
                <w:szCs w:val="24"/>
              </w:rPr>
              <w:t xml:space="preserve"> under the Health &amp; Safety at Work Act 1974 to:</w:t>
            </w:r>
          </w:p>
          <w:p>
            <w:pPr>
              <w:pStyle w:val="Normal"/>
              <w:rPr>
                <w:rFonts w:ascii="Calibri" w:hAnsi="Calibri" w:cs="Calibri"/>
                <w:sz w:val="24"/>
                <w:szCs w:val="24"/>
              </w:rPr>
            </w:pPr>
            <w:r>
              <w:rPr>
                <w:rFonts w:cs="Calibri" w:ascii="Calibri" w:hAnsi="Calibri"/>
                <w:sz w:val="24"/>
                <w:szCs w:val="24"/>
              </w:rPr>
            </w:r>
          </w:p>
          <w:p>
            <w:pPr>
              <w:pStyle w:val="Normal"/>
              <w:rPr>
                <w:rFonts w:ascii="Calibri" w:hAnsi="Calibri" w:cs="Calibri"/>
                <w:sz w:val="24"/>
                <w:szCs w:val="24"/>
              </w:rPr>
            </w:pPr>
            <w:r>
              <w:rPr>
                <w:rFonts w:cs="Calibri" w:ascii="Calibri" w:hAnsi="Calibri"/>
                <w:sz w:val="24"/>
                <w:szCs w:val="24"/>
              </w:rPr>
              <w:t>Take reasonable care for the Health and Safety at Work of himself/herself and of others who may be affected by his or her acts or omissions.</w:t>
            </w:r>
          </w:p>
          <w:p>
            <w:pPr>
              <w:pStyle w:val="Normal"/>
              <w:rPr>
                <w:rFonts w:ascii="Calibri" w:hAnsi="Calibri" w:cs="Calibri"/>
                <w:sz w:val="24"/>
                <w:szCs w:val="24"/>
              </w:rPr>
            </w:pPr>
            <w:r>
              <w:rPr>
                <w:rFonts w:cs="Calibri" w:ascii="Calibri" w:hAnsi="Calibri"/>
                <w:sz w:val="24"/>
                <w:szCs w:val="24"/>
              </w:rPr>
            </w:r>
          </w:p>
          <w:p>
            <w:pPr>
              <w:pStyle w:val="Normal"/>
              <w:rPr>
                <w:rFonts w:ascii="Calibri" w:hAnsi="Calibri" w:cs="Calibri"/>
                <w:sz w:val="24"/>
                <w:szCs w:val="24"/>
              </w:rPr>
            </w:pPr>
            <w:r>
              <w:rPr>
                <w:rFonts w:cs="Calibri" w:ascii="Calibri" w:hAnsi="Calibri"/>
                <w:sz w:val="24"/>
                <w:szCs w:val="24"/>
              </w:rPr>
              <w:t>Employees are also required under the Act to:</w:t>
            </w:r>
          </w:p>
          <w:p>
            <w:pPr>
              <w:pStyle w:val="Normal"/>
              <w:rPr>
                <w:rFonts w:ascii="Calibri" w:hAnsi="Calibri" w:cs="Calibri"/>
                <w:sz w:val="24"/>
                <w:szCs w:val="24"/>
              </w:rPr>
            </w:pPr>
            <w:r>
              <w:rPr>
                <w:rFonts w:cs="Calibri" w:ascii="Calibri" w:hAnsi="Calibri"/>
                <w:sz w:val="24"/>
                <w:szCs w:val="24"/>
              </w:rPr>
            </w:r>
          </w:p>
          <w:p>
            <w:pPr>
              <w:pStyle w:val="Normal"/>
              <w:rPr>
                <w:rFonts w:ascii="Calibri" w:hAnsi="Calibri" w:cs="Calibri"/>
                <w:sz w:val="24"/>
                <w:szCs w:val="24"/>
              </w:rPr>
            </w:pPr>
            <w:r>
              <w:rPr>
                <w:rFonts w:cs="Calibri" w:ascii="Calibri" w:hAnsi="Calibri"/>
                <w:sz w:val="24"/>
                <w:szCs w:val="24"/>
              </w:rPr>
              <w:t>Co-operate with his/her employer with regard to any requirements imposed on the employer by statutory provisions.</w:t>
            </w:r>
          </w:p>
          <w:p>
            <w:pPr>
              <w:pStyle w:val="Normal"/>
              <w:rPr>
                <w:rFonts w:ascii="Calibri" w:hAnsi="Calibri" w:cs="Calibri"/>
                <w:sz w:val="24"/>
                <w:szCs w:val="24"/>
              </w:rPr>
            </w:pPr>
            <w:r>
              <w:rPr>
                <w:rFonts w:cs="Calibri" w:ascii="Calibri" w:hAnsi="Calibri"/>
                <w:sz w:val="24"/>
                <w:szCs w:val="24"/>
              </w:rPr>
            </w:r>
          </w:p>
        </w:tc>
      </w:tr>
      <w:tr>
        <w:trPr/>
        <w:tc>
          <w:tcPr>
            <w:tcW w:w="3561" w:type="dxa"/>
            <w:tcBorders>
              <w:top w:val="single" w:sz="4" w:space="0" w:color="000000"/>
              <w:left w:val="single" w:sz="4" w:space="0" w:color="000000"/>
              <w:bottom w:val="single" w:sz="4" w:space="0" w:color="000000"/>
              <w:right w:val="single" w:sz="4" w:space="0" w:color="000000"/>
            </w:tcBorders>
          </w:tcPr>
          <w:p>
            <w:pPr>
              <w:pStyle w:val="Normal"/>
              <w:spacing w:before="120" w:after="0"/>
              <w:rPr>
                <w:rFonts w:ascii="Calibri" w:hAnsi="Calibri" w:cs="Calibri"/>
                <w:b/>
                <w:sz w:val="24"/>
                <w:szCs w:val="24"/>
              </w:rPr>
            </w:pPr>
            <w:r>
              <w:rPr>
                <w:rFonts w:cs="Calibri" w:ascii="Calibri" w:hAnsi="Calibri"/>
                <w:b/>
                <w:sz w:val="24"/>
                <w:szCs w:val="24"/>
              </w:rPr>
              <w:t>Job Description prepared by:</w:t>
            </w:r>
          </w:p>
          <w:p>
            <w:pPr>
              <w:pStyle w:val="Normal"/>
              <w:spacing w:before="120" w:after="0"/>
              <w:rPr>
                <w:rFonts w:ascii="Calibri" w:hAnsi="Calibri" w:cs="Calibri"/>
                <w:sz w:val="24"/>
                <w:szCs w:val="24"/>
              </w:rPr>
            </w:pPr>
            <w:r>
              <w:rPr>
                <w:rFonts w:cs="Calibri" w:ascii="Calibri" w:hAnsi="Calibri"/>
                <w:sz w:val="24"/>
                <w:szCs w:val="24"/>
              </w:rPr>
              <w:t>Amy Longstaff</w:t>
            </w:r>
          </w:p>
        </w:tc>
        <w:tc>
          <w:tcPr>
            <w:tcW w:w="3924" w:type="dxa"/>
            <w:tcBorders>
              <w:top w:val="single" w:sz="4" w:space="0" w:color="000000"/>
              <w:left w:val="single" w:sz="4" w:space="0" w:color="000000"/>
              <w:bottom w:val="single" w:sz="4" w:space="0" w:color="000000"/>
              <w:right w:val="single" w:sz="4" w:space="0" w:color="000000"/>
            </w:tcBorders>
          </w:tcPr>
          <w:p>
            <w:pPr>
              <w:pStyle w:val="Normal"/>
              <w:spacing w:before="120" w:after="0"/>
              <w:rPr>
                <w:rFonts w:ascii="Calibri" w:hAnsi="Calibri" w:cs="Calibri"/>
                <w:b/>
                <w:sz w:val="24"/>
                <w:szCs w:val="24"/>
              </w:rPr>
            </w:pPr>
            <w:r>
              <w:rPr>
                <w:rFonts w:cs="Calibri" w:ascii="Calibri" w:hAnsi="Calibri"/>
                <w:b/>
                <w:sz w:val="24"/>
                <w:szCs w:val="24"/>
              </w:rPr>
              <w:t>Sign:</w:t>
            </w:r>
          </w:p>
          <w:p>
            <w:pPr>
              <w:pStyle w:val="Normal"/>
              <w:spacing w:before="120" w:after="0"/>
              <w:rPr>
                <w:rFonts w:ascii="Calibri" w:hAnsi="Calibri" w:cs="Calibri"/>
                <w:b/>
                <w:sz w:val="24"/>
                <w:szCs w:val="24"/>
              </w:rPr>
            </w:pPr>
            <w:r>
              <w:rPr>
                <w:rFonts w:cs="Calibri" w:ascii="Calibri" w:hAnsi="Calibri"/>
                <w:b/>
                <w:sz w:val="24"/>
                <w:szCs w:val="24"/>
              </w:rPr>
              <w:t>A Longstaff</w:t>
            </w:r>
          </w:p>
        </w:tc>
        <w:tc>
          <w:tcPr>
            <w:tcW w:w="2625" w:type="dxa"/>
            <w:tcBorders>
              <w:top w:val="single" w:sz="4" w:space="0" w:color="000000"/>
              <w:left w:val="single" w:sz="4" w:space="0" w:color="000000"/>
              <w:bottom w:val="single" w:sz="4" w:space="0" w:color="000000"/>
              <w:right w:val="single" w:sz="4" w:space="0" w:color="000000"/>
            </w:tcBorders>
          </w:tcPr>
          <w:p>
            <w:pPr>
              <w:pStyle w:val="Normal"/>
              <w:spacing w:before="120" w:after="0"/>
              <w:rPr>
                <w:rFonts w:ascii="Calibri" w:hAnsi="Calibri" w:cs="Calibri"/>
                <w:b/>
                <w:sz w:val="24"/>
                <w:szCs w:val="24"/>
              </w:rPr>
            </w:pPr>
            <w:r>
              <w:rPr>
                <w:rFonts w:cs="Calibri" w:ascii="Calibri" w:hAnsi="Calibri"/>
                <w:b/>
                <w:sz w:val="24"/>
                <w:szCs w:val="24"/>
              </w:rPr>
              <w:t>Date:</w:t>
            </w:r>
          </w:p>
          <w:p>
            <w:pPr>
              <w:pStyle w:val="Normal"/>
              <w:spacing w:before="120" w:after="0"/>
              <w:rPr>
                <w:rFonts w:ascii="Calibri" w:hAnsi="Calibri" w:cs="Calibri"/>
                <w:b/>
                <w:sz w:val="24"/>
                <w:szCs w:val="24"/>
              </w:rPr>
            </w:pPr>
            <w:r>
              <w:rPr>
                <w:rFonts w:cs="Calibri" w:ascii="Calibri" w:hAnsi="Calibri"/>
                <w:b/>
                <w:sz w:val="24"/>
                <w:szCs w:val="24"/>
              </w:rPr>
              <w:t>September 2026</w:t>
            </w:r>
          </w:p>
        </w:tc>
      </w:tr>
    </w:tbl>
    <w:p>
      <w:pPr>
        <w:pStyle w:val="Normal"/>
        <w:rPr>
          <w:rFonts w:ascii="Arial" w:hAnsi="Arial" w:cs="Arial"/>
        </w:rPr>
      </w:pPr>
      <w:r>
        <w:rPr>
          <w:rFonts w:cs="Arial" w:ascii="Arial" w:hAnsi="Arial"/>
        </w:rPr>
      </w:r>
    </w:p>
    <w:p>
      <w:pPr>
        <w:pStyle w:val="Normal"/>
        <w:rPr>
          <w:rFonts w:ascii="Arial" w:hAnsi="Arial" w:cs="Arial"/>
          <w:b/>
          <w:bCs/>
        </w:rPr>
      </w:pPr>
      <w:r>
        <w:rPr>
          <w:rFonts w:cs="Arial" w:ascii="Arial" w:hAnsi="Arial"/>
          <w:b/>
          <w:bCs/>
        </w:rPr>
        <w:t>Emmanuel Holcombe CE (VA) Primary School is committed to the safeguarding and wellbeing of all of its pupils and staff. As such, all references will be sought and all appropriate safeguarding checks will be completed.</w:t>
      </w:r>
    </w:p>
    <w:p>
      <w:pPr>
        <w:pStyle w:val="Normal"/>
        <w:rPr/>
      </w:pPr>
      <w:r>
        <w:rPr/>
      </w:r>
    </w:p>
    <w:sectPr>
      <w:type w:val="nextPage"/>
      <w:pgSz w:w="11906" w:h="16838"/>
      <w:pgMar w:left="1151" w:right="1151" w:gutter="0" w:header="0" w:top="851" w:footer="0" w:bottom="6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GB" w:bidi="ar-SA"/>
    </w:rPr>
  </w:style>
  <w:style w:type="character" w:styleId="WW8Num1z0">
    <w:name w:val="WW8Num1z0"/>
    <w:qFormat/>
    <w:rPr>
      <w:rFonts w:ascii="Symbol" w:hAnsi="Symbol" w:cs="Symbol"/>
      <w:sz w:val="24"/>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4"/>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sz w:val="24"/>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4"/>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sz w:val="24"/>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cs="Symbol"/>
      <w:sz w:val="24"/>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rFonts w:ascii="Symbol" w:hAnsi="Symbol" w:cs="Symbol"/>
      <w:sz w:val="24"/>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DefaultParagraphFont">
    <w:name w:val="Default Paragraph Font"/>
    <w:qFormat/>
    <w:rPr/>
  </w:style>
  <w:style w:type="character" w:styleId="TitleChar">
    <w:name w:val="Title Char"/>
    <w:basedOn w:val="DefaultParagraphFont"/>
    <w:qFormat/>
    <w:rPr>
      <w:rFonts w:ascii="Times New Roman" w:hAnsi="Times New Roman" w:eastAsia="Times New Roman" w:cs="Times New Roman"/>
      <w:b/>
      <w:sz w:val="24"/>
      <w:szCs w:val="20"/>
      <w:lang w:eastAsia="en-GB"/>
    </w:rPr>
  </w:style>
  <w:style w:type="character" w:styleId="HeaderChar">
    <w:name w:val="Header Char"/>
    <w:basedOn w:val="DefaultParagraphFont"/>
    <w:qFormat/>
    <w:rPr>
      <w:rFonts w:ascii="Times New Roman" w:hAnsi="Times New Roman" w:eastAsia="Times New Roman" w:cs="Times New Roman"/>
      <w:sz w:val="20"/>
      <w:szCs w:val="20"/>
      <w:lang w:eastAsia="en-GB"/>
    </w:rPr>
  </w:style>
  <w:style w:type="character" w:styleId="BalloonTextChar">
    <w:name w:val="Balloon Text Char"/>
    <w:basedOn w:val="DefaultParagraphFont"/>
    <w:qFormat/>
    <w:rPr>
      <w:rFonts w:ascii="Segoe UI" w:hAnsi="Segoe UI" w:eastAsia="Times New Roman" w:cs="Times New Roman"/>
      <w:sz w:val="18"/>
      <w:szCs w:val="18"/>
      <w:lang w:eastAsia="en-GB"/>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jc w:val="center"/>
    </w:pPr>
    <w:rPr>
      <w:b/>
      <w:sz w:val="24"/>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ListParagraph">
    <w:name w:val="List Paragraph"/>
    <w:basedOn w:val="Normal"/>
    <w:qFormat/>
    <w:pPr>
      <w:spacing w:before="0" w:after="0"/>
      <w:ind w:hanging="0" w:left="720" w:right="0"/>
      <w:contextualSpacing/>
    </w:pPr>
    <w:rPr/>
  </w:style>
  <w:style w:type="paragraph" w:styleId="BalloonText">
    <w:name w:val="Balloon Text"/>
    <w:basedOn w:val="Normal"/>
    <w:qFormat/>
    <w:pPr/>
    <w:rPr>
      <w:rFonts w:ascii="Segoe UI" w:hAnsi="Segoe UI" w:cs="Segoe UI"/>
      <w:sz w:val="18"/>
      <w:szCs w:val="18"/>
    </w:rPr>
  </w:style>
  <w:style w:type="paragraph" w:styleId="NormalWeb">
    <w:name w:val="Normal (Web)"/>
    <w:basedOn w:val="Normal"/>
    <w:qFormat/>
    <w:pPr>
      <w:spacing w:before="280" w:after="280"/>
    </w:pPr>
    <w:rPr>
      <w:rFonts w:eastAsia=""/>
      <w:sz w:val="24"/>
      <w:szCs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