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236"/>
        <w:ind w:left="7937" w:right="0" w:hanging="0"/>
        <w:rPr>
          <w:rFonts w:ascii="Verdana" w:hAnsi="Verdana" w:eastAsia="Verdana" w:cs="Verdana"/>
          <w:b/>
          <w:b/>
        </w:rPr>
      </w:pPr>
      <w:r>
        <w:rPr/>
        <w:drawing>
          <wp:inline distT="0" distB="0" distL="0" distR="0">
            <wp:extent cx="1079500" cy="54356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3" t="-66" r="-33" b="-66"/>
                    <a:stretch>
                      <a:fillRect/>
                    </a:stretch>
                  </pic:blipFill>
                  <pic:spPr bwMode="auto">
                    <a:xfrm>
                      <a:off x="0" y="0"/>
                      <a:ext cx="1079500" cy="543560"/>
                    </a:xfrm>
                    <a:prstGeom prst="rect">
                      <a:avLst/>
                    </a:prstGeom>
                  </pic:spPr>
                </pic:pic>
              </a:graphicData>
            </a:graphic>
          </wp:inline>
        </w:drawing>
      </w:r>
    </w:p>
    <w:p>
      <w:pPr>
        <w:pStyle w:val="Normal"/>
        <w:spacing w:before="0" w:after="467"/>
        <w:ind w:left="4095" w:right="0" w:hanging="10"/>
        <w:rPr>
          <w:rFonts w:ascii="Verdana" w:hAnsi="Verdana" w:eastAsia="Verdana" w:cs="Verdana"/>
          <w:b/>
          <w:b/>
        </w:rPr>
      </w:pPr>
      <w:r>
        <w:rPr>
          <w:rFonts w:eastAsia="Verdana" w:cs="Verdana" w:ascii="Verdana" w:hAnsi="Verdana"/>
          <w:b/>
        </w:rPr>
        <w:t xml:space="preserve">JOB DESCRIPTION </w:t>
      </w:r>
    </w:p>
    <w:tbl>
      <w:tblPr>
        <w:tblW w:w="10320" w:type="dxa"/>
        <w:jc w:val="left"/>
        <w:tblInd w:w="-115" w:type="dxa"/>
        <w:tblCellMar>
          <w:top w:w="0" w:type="dxa"/>
          <w:left w:w="108" w:type="dxa"/>
          <w:bottom w:w="2" w:type="dxa"/>
          <w:right w:w="30" w:type="dxa"/>
        </w:tblCellMar>
      </w:tblPr>
      <w:tblGrid>
        <w:gridCol w:w="7055"/>
        <w:gridCol w:w="3265"/>
      </w:tblGrid>
      <w:tr>
        <w:trPr>
          <w:trHeight w:val="538" w:hRule="atLeast"/>
        </w:trPr>
        <w:tc>
          <w:tcPr>
            <w:tcW w:w="10320" w:type="dxa"/>
            <w:gridSpan w:val="2"/>
            <w:tcBorders>
              <w:top w:val="sing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0"/>
              <w:rPr/>
            </w:pPr>
            <w:r>
              <w:rPr>
                <w:rFonts w:eastAsia="Verdana" w:cs="Verdana" w:ascii="Verdana" w:hAnsi="Verdana"/>
                <w:b/>
                <w:bCs/>
              </w:rPr>
              <w:t>Post Title</w:t>
            </w:r>
            <w:r>
              <w:rPr>
                <w:rFonts w:eastAsia="Verdana" w:cs="Verdana" w:ascii="Verdana" w:hAnsi="Verdana"/>
              </w:rPr>
              <w:t>: Head of Regeneration (Town Centres) [3 year FTC]</w:t>
            </w:r>
          </w:p>
        </w:tc>
      </w:tr>
      <w:tr>
        <w:trPr>
          <w:trHeight w:val="552" w:hRule="atLeast"/>
        </w:trPr>
        <w:tc>
          <w:tcPr>
            <w:tcW w:w="7055" w:type="dxa"/>
            <w:tcBorders>
              <w:top w:val="double" w:sz="6" w:space="0" w:color="000000"/>
              <w:left w:val="single" w:sz="6" w:space="0" w:color="000000"/>
              <w:bottom w:val="double" w:sz="6" w:space="0" w:color="000000"/>
            </w:tcBorders>
            <w:shd w:fill="auto" w:val="clear"/>
            <w:vAlign w:val="center"/>
          </w:tcPr>
          <w:p>
            <w:pPr>
              <w:pStyle w:val="Normal"/>
              <w:spacing w:lineRule="auto" w:line="240" w:before="0" w:after="0"/>
              <w:rPr>
                <w:rFonts w:ascii="Verdana" w:hAnsi="Verdana" w:cs="Verdana"/>
                <w:b/>
                <w:b/>
                <w:bCs/>
              </w:rPr>
            </w:pPr>
            <w:r>
              <w:rPr>
                <w:rFonts w:cs="Verdana" w:ascii="Verdana" w:hAnsi="Verdana"/>
                <w:b/>
                <w:bCs/>
              </w:rPr>
              <w:t>Department: Place Directorate</w:t>
            </w:r>
          </w:p>
        </w:tc>
        <w:tc>
          <w:tcPr>
            <w:tcW w:w="3265" w:type="dxa"/>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0"/>
              <w:rPr/>
            </w:pPr>
            <w:r>
              <w:rPr>
                <w:rFonts w:eastAsia="Verdana" w:cs="Verdana" w:ascii="Verdana" w:hAnsi="Verdana"/>
                <w:b/>
                <w:bCs/>
              </w:rPr>
              <w:t>Post No</w:t>
            </w:r>
            <w:r>
              <w:rPr>
                <w:rFonts w:eastAsia="Verdana" w:cs="Verdana" w:ascii="Verdana" w:hAnsi="Verdana"/>
              </w:rPr>
              <w:t xml:space="preserve">: </w:t>
            </w:r>
          </w:p>
        </w:tc>
      </w:tr>
      <w:tr>
        <w:trPr>
          <w:trHeight w:val="552" w:hRule="atLeast"/>
        </w:trPr>
        <w:tc>
          <w:tcPr>
            <w:tcW w:w="7055" w:type="dxa"/>
            <w:tcBorders>
              <w:top w:val="double" w:sz="6" w:space="0" w:color="000000"/>
              <w:left w:val="single" w:sz="6" w:space="0" w:color="000000"/>
              <w:bottom w:val="double" w:sz="6" w:space="0" w:color="000000"/>
            </w:tcBorders>
            <w:shd w:fill="auto" w:val="clear"/>
            <w:vAlign w:val="center"/>
          </w:tcPr>
          <w:p>
            <w:pPr>
              <w:pStyle w:val="Normal"/>
              <w:spacing w:lineRule="auto" w:line="240" w:before="0" w:after="0"/>
              <w:jc w:val="both"/>
              <w:rPr/>
            </w:pPr>
            <w:r>
              <w:rPr>
                <w:rFonts w:eastAsia="Verdana" w:cs="Verdana" w:ascii="Verdana" w:hAnsi="Verdana"/>
                <w:b/>
                <w:bCs/>
              </w:rPr>
              <w:t>Division/Section</w:t>
            </w:r>
            <w:r>
              <w:rPr>
                <w:rFonts w:eastAsia="Verdana" w:cs="Verdana" w:ascii="Verdana" w:hAnsi="Verdana"/>
              </w:rPr>
              <w:t>: Physical Regeneration</w:t>
            </w:r>
          </w:p>
        </w:tc>
        <w:tc>
          <w:tcPr>
            <w:tcW w:w="3265" w:type="dxa"/>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0"/>
              <w:rPr/>
            </w:pPr>
            <w:r>
              <w:rPr>
                <w:rFonts w:eastAsia="Verdana" w:cs="Verdana" w:ascii="Verdana" w:hAnsi="Verdana"/>
                <w:b/>
                <w:bCs/>
              </w:rPr>
              <w:t>Post Grade</w:t>
            </w:r>
            <w:r>
              <w:rPr>
                <w:rFonts w:eastAsia="Verdana" w:cs="Verdana" w:ascii="Verdana" w:hAnsi="Verdana"/>
              </w:rPr>
              <w:t xml:space="preserve">: Chief Officer A </w:t>
            </w:r>
          </w:p>
        </w:tc>
      </w:tr>
      <w:tr>
        <w:trPr>
          <w:trHeight w:val="552" w:hRule="atLeast"/>
        </w:trPr>
        <w:tc>
          <w:tcPr>
            <w:tcW w:w="7055" w:type="dxa"/>
            <w:tcBorders>
              <w:top w:val="double" w:sz="6" w:space="0" w:color="000000"/>
              <w:left w:val="single" w:sz="6" w:space="0" w:color="000000"/>
              <w:bottom w:val="double" w:sz="6" w:space="0" w:color="000000"/>
            </w:tcBorders>
            <w:shd w:fill="auto" w:val="clear"/>
            <w:vAlign w:val="center"/>
          </w:tcPr>
          <w:p>
            <w:pPr>
              <w:pStyle w:val="Normal"/>
              <w:spacing w:lineRule="auto" w:line="240" w:before="0" w:after="0"/>
              <w:rPr/>
            </w:pPr>
            <w:r>
              <w:rPr>
                <w:rFonts w:eastAsia="Verdana" w:cs="Verdana" w:ascii="Verdana" w:hAnsi="Verdana"/>
                <w:b/>
                <w:bCs/>
              </w:rPr>
              <w:t>Location</w:t>
            </w:r>
            <w:r>
              <w:rPr>
                <w:rFonts w:eastAsia="Verdana" w:cs="Verdana" w:ascii="Verdana" w:hAnsi="Verdana"/>
              </w:rPr>
              <w:t>: 3 Knowsley Place, Duke Street, Bury, BL9 0EJ</w:t>
            </w:r>
            <w:r>
              <w:rPr>
                <w:rFonts w:eastAsia="Verdana" w:cs="Verdana" w:ascii="Verdana" w:hAnsi="Verdana"/>
                <w:b/>
                <w:bCs/>
              </w:rPr>
              <w:t xml:space="preserve"> </w:t>
            </w:r>
          </w:p>
        </w:tc>
        <w:tc>
          <w:tcPr>
            <w:tcW w:w="3265" w:type="dxa"/>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0"/>
              <w:rPr>
                <w:rFonts w:ascii="Verdana" w:hAnsi="Verdana" w:cs="Verdana"/>
                <w:b/>
                <w:b/>
                <w:bCs/>
              </w:rPr>
            </w:pPr>
            <w:r>
              <w:rPr>
                <w:rFonts w:cs="Verdana" w:ascii="Verdana" w:hAnsi="Verdana"/>
                <w:b/>
                <w:bCs/>
              </w:rPr>
              <w:t xml:space="preserve">Post hours: 37 </w:t>
            </w:r>
          </w:p>
        </w:tc>
      </w:tr>
      <w:tr>
        <w:trPr>
          <w:trHeight w:val="1596" w:hRule="atLeast"/>
        </w:trPr>
        <w:tc>
          <w:tcPr>
            <w:tcW w:w="10320" w:type="dxa"/>
            <w:gridSpan w:val="2"/>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96"/>
              <w:rPr/>
            </w:pPr>
            <w:r>
              <w:rPr>
                <w:rFonts w:eastAsia="Verdana" w:cs="Verdana" w:ascii="Verdana" w:hAnsi="Verdana"/>
                <w:b/>
                <w:bCs/>
              </w:rPr>
              <w:t>Special Conditions of Service</w:t>
            </w:r>
            <w:r>
              <w:rPr>
                <w:rFonts w:eastAsia="Verdana" w:cs="Verdana" w:ascii="Verdana" w:hAnsi="Verdana"/>
              </w:rPr>
              <w:t xml:space="preserve">:  </w:t>
            </w:r>
          </w:p>
          <w:p>
            <w:pPr>
              <w:pStyle w:val="Normal"/>
              <w:spacing w:lineRule="auto" w:line="240" w:before="0" w:after="0"/>
              <w:rPr/>
            </w:pPr>
            <w:r>
              <w:rPr/>
            </w:r>
          </w:p>
          <w:p>
            <w:pPr>
              <w:pStyle w:val="Normal"/>
              <w:spacing w:lineRule="auto" w:line="240" w:before="0" w:after="0"/>
              <w:rPr>
                <w:rFonts w:ascii="Verdana" w:hAnsi="Verdana" w:eastAsia="Verdana" w:cs="Verdana"/>
              </w:rPr>
            </w:pPr>
            <w:r>
              <w:rPr>
                <w:rFonts w:eastAsia="Verdana" w:cs="Verdana" w:ascii="Verdana" w:hAnsi="Verdana"/>
              </w:rPr>
              <w:t>The nature of the post will require the post holder to work flexibly dependent on the needs of the job.  This can mean working outside of standard working hours. This is a 3-year Fixed Term Contract.</w:t>
            </w:r>
          </w:p>
        </w:tc>
      </w:tr>
      <w:tr>
        <w:trPr>
          <w:trHeight w:val="2788" w:hRule="atLeast"/>
        </w:trPr>
        <w:tc>
          <w:tcPr>
            <w:tcW w:w="10320" w:type="dxa"/>
            <w:gridSpan w:val="2"/>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99"/>
              <w:rPr/>
            </w:pPr>
            <w:r>
              <w:rPr>
                <w:rFonts w:eastAsia="Verdana" w:cs="Verdana" w:ascii="Verdana" w:hAnsi="Verdana"/>
                <w:b/>
                <w:bCs/>
              </w:rPr>
              <w:t>Purpose and Objectives of Post</w:t>
            </w:r>
            <w:r>
              <w:rPr>
                <w:rFonts w:eastAsia="Verdana" w:cs="Verdana" w:ascii="Verdana" w:hAnsi="Verdana"/>
              </w:rPr>
              <w:t>:</w:t>
            </w:r>
          </w:p>
          <w:p>
            <w:pPr>
              <w:pStyle w:val="NoSpacing"/>
              <w:spacing w:lineRule="auto" w:line="240" w:before="0" w:after="0"/>
              <w:rPr>
                <w:rFonts w:ascii="Verdana" w:hAnsi="Verdana" w:cs="Verdana"/>
              </w:rPr>
            </w:pPr>
            <w:r>
              <w:rPr>
                <w:rFonts w:cs="Verdana" w:ascii="Verdana" w:hAnsi="Verdana"/>
              </w:rPr>
              <w:t xml:space="preserve">The Borough of Bury is currently delivering a large multifaceted regeneration agenda.  In the last three years, the team has delivered over 1,000 homes, two significant Levelling Up Fund projects (totalling £81m); we’ve operated two large public-private development joint ventures alongside significant road construction, school construction, supported housing development and pushed forward the regionally significant Northern Gateway development.   </w:t>
            </w:r>
          </w:p>
          <w:p>
            <w:pPr>
              <w:pStyle w:val="NoSpacing"/>
              <w:spacing w:lineRule="auto" w:line="240" w:before="0" w:after="0"/>
              <w:rPr>
                <w:rFonts w:ascii="Verdana" w:hAnsi="Verdana" w:cs="Verdana"/>
              </w:rPr>
            </w:pPr>
            <w:r>
              <w:rPr>
                <w:rFonts w:cs="Verdana" w:ascii="Verdana" w:hAnsi="Verdana"/>
              </w:rPr>
            </w:r>
          </w:p>
          <w:p>
            <w:pPr>
              <w:pStyle w:val="NoSpacing"/>
              <w:spacing w:lineRule="auto" w:line="240" w:before="0" w:after="0"/>
              <w:rPr>
                <w:rFonts w:ascii="Verdana" w:hAnsi="Verdana" w:cs="Verdana"/>
              </w:rPr>
            </w:pPr>
            <w:r>
              <w:rPr>
                <w:rFonts w:cs="Verdana" w:ascii="Verdana" w:hAnsi="Verdana"/>
              </w:rPr>
              <w:t xml:space="preserve">This Borough stands out because of its large ambition which is balanced with its capacity to deliver projects at scale, on time and on budget.  We don’t shout about what we do, we just get on and deliver.  We’re looking for a driven public servant with a level of ambition that matches our own to work with a highly competent team to take our agenda to the next level.  </w:t>
            </w:r>
          </w:p>
          <w:p>
            <w:pPr>
              <w:pStyle w:val="NoSpacing"/>
              <w:spacing w:lineRule="auto" w:line="240" w:before="0" w:after="0"/>
              <w:rPr>
                <w:rFonts w:ascii="Verdana" w:hAnsi="Verdana" w:cs="Verdana"/>
              </w:rPr>
            </w:pPr>
            <w:r>
              <w:rPr>
                <w:rFonts w:cs="Verdana" w:ascii="Verdana" w:hAnsi="Verdana"/>
              </w:rPr>
            </w:r>
          </w:p>
          <w:p>
            <w:pPr>
              <w:pStyle w:val="NoSpacing"/>
              <w:spacing w:lineRule="auto" w:line="240" w:before="0" w:after="0"/>
              <w:rPr>
                <w:rFonts w:ascii="Verdana" w:hAnsi="Verdana" w:cs="Verdana"/>
              </w:rPr>
            </w:pPr>
            <w:r>
              <w:rPr>
                <w:rFonts w:cs="Verdana" w:ascii="Verdana" w:hAnsi="Verdana"/>
              </w:rPr>
              <w:t>The Head of Regeneration role will add much needed additional capacity to the Council’s Regeneration and Projects Division.  It will provide clear leadership and co-ordination of an emergent programme of regeneration/development in key growth locations across the Borough, with a focus on Bury Town Centre.</w:t>
            </w:r>
          </w:p>
          <w:p>
            <w:pPr>
              <w:pStyle w:val="NoSpacing"/>
              <w:spacing w:lineRule="auto" w:line="240" w:before="0" w:after="0"/>
              <w:rPr>
                <w:rFonts w:ascii="Verdana" w:hAnsi="Verdana" w:cs="Verdana"/>
              </w:rPr>
            </w:pPr>
            <w:r>
              <w:rPr>
                <w:rFonts w:cs="Verdana" w:ascii="Verdana" w:hAnsi="Verdana"/>
              </w:rPr>
            </w:r>
          </w:p>
          <w:p>
            <w:pPr>
              <w:pStyle w:val="NoSpacing"/>
              <w:spacing w:lineRule="auto" w:line="240" w:before="0" w:after="0"/>
              <w:rPr>
                <w:rFonts w:ascii="Verdana" w:hAnsi="Verdana" w:cs="Verdana"/>
              </w:rPr>
            </w:pPr>
            <w:r>
              <w:rPr>
                <w:rFonts w:cs="Verdana" w:ascii="Verdana" w:hAnsi="Verdana"/>
              </w:rPr>
              <w:t xml:space="preserve">The post holder will progress the Bury Town Centre programme from initiation phase into delivery through consultation with numerous internal, external and linked stakeholders/stakeholder groups.  Operation of strong governance and interface management will be required to deliver the work, with a strong focus on alignment of strategic partners to deliver outcomes.     </w:t>
            </w:r>
          </w:p>
          <w:p>
            <w:pPr>
              <w:pStyle w:val="NoSpacing"/>
              <w:spacing w:lineRule="auto" w:line="240" w:before="0" w:after="0"/>
              <w:rPr>
                <w:rFonts w:ascii="Verdana" w:hAnsi="Verdana" w:cs="Verdana"/>
              </w:rPr>
            </w:pPr>
            <w:r>
              <w:rPr>
                <w:rFonts w:cs="Verdana" w:ascii="Verdana" w:hAnsi="Verdana"/>
              </w:rPr>
            </w:r>
          </w:p>
          <w:p>
            <w:pPr>
              <w:pStyle w:val="NoSpacing"/>
              <w:spacing w:lineRule="auto" w:line="240" w:before="0" w:after="0"/>
              <w:rPr>
                <w:rFonts w:ascii="Verdana" w:hAnsi="Verdana" w:cs="Verdana"/>
              </w:rPr>
            </w:pPr>
            <w:r>
              <w:rPr>
                <w:rFonts w:cs="Verdana" w:ascii="Verdana" w:hAnsi="Verdana"/>
              </w:rPr>
              <w:t xml:space="preserve">You will own the delivery of the Bury Town Centre Masterplan, developing and implementing a series of high-profile regeneration initiatives across pre-agreed development areas.  You will align the activity with the strategic aspirations of the council and its partners and maintain and enhance strong pre-existing working relationships with Transport for Greater Manchester and the Greater Manchester Combined Authority.  As a senior leader, you will balance a sharp commercial focus with a sustainable inclusive growth approach to placemaking, ensuring activity aligns with the Council’s corporate mission defined in its ‘Let’s Do It!’ plan. </w:t>
            </w:r>
          </w:p>
          <w:p>
            <w:pPr>
              <w:pStyle w:val="NoSpacing"/>
              <w:spacing w:lineRule="auto" w:line="240" w:before="0" w:after="0"/>
              <w:rPr>
                <w:rFonts w:ascii="Verdana" w:hAnsi="Verdana" w:cs="Verdana"/>
              </w:rPr>
            </w:pPr>
            <w:r>
              <w:rPr>
                <w:rFonts w:cs="Verdana" w:ascii="Verdana" w:hAnsi="Verdana"/>
              </w:rPr>
            </w:r>
          </w:p>
          <w:p>
            <w:pPr>
              <w:pStyle w:val="NoSpacing"/>
              <w:spacing w:lineRule="auto" w:line="240" w:before="0" w:after="0"/>
              <w:rPr>
                <w:rFonts w:ascii="Verdana" w:hAnsi="Verdana" w:cs="Verdana"/>
              </w:rPr>
            </w:pPr>
            <w:r>
              <w:rPr>
                <w:rFonts w:cs="Verdana" w:ascii="Verdana" w:hAnsi="Verdana"/>
              </w:rPr>
              <w:t>We’re looking for an individual with a strong set of development management and construction project delivery skills who can thrive in a complex stakeholder environment within a political setting.  The post-holder will need an established track record of driving forward a portfolio of capital projects at scale.</w:t>
            </w:r>
          </w:p>
          <w:p>
            <w:pPr>
              <w:pStyle w:val="NoSpacing"/>
              <w:spacing w:lineRule="auto" w:line="240" w:before="0" w:after="0"/>
              <w:rPr>
                <w:rFonts w:ascii="Verdana" w:hAnsi="Verdana" w:cs="Verdana"/>
              </w:rPr>
            </w:pPr>
            <w:r>
              <w:rPr>
                <w:rFonts w:cs="Verdana" w:ascii="Verdana" w:hAnsi="Verdana"/>
              </w:rPr>
            </w:r>
          </w:p>
          <w:p>
            <w:pPr>
              <w:pStyle w:val="NoSpacing"/>
              <w:spacing w:lineRule="auto" w:line="240" w:before="0" w:after="0"/>
              <w:rPr>
                <w:rFonts w:ascii="Verdana" w:hAnsi="Verdana" w:cs="Verdana"/>
              </w:rPr>
            </w:pPr>
            <w:r>
              <w:rPr>
                <w:rFonts w:cs="Verdana" w:ascii="Verdana" w:hAnsi="Verdana"/>
              </w:rPr>
              <w:t>With a strong track record of leading teams and effective resourcing of projects, you will be experienced at working with multidisciplinary teams and external funders, utilising a variety of innovative delivery models and providing strategic direction over a large programme of regeneration activity.</w:t>
            </w:r>
          </w:p>
        </w:tc>
      </w:tr>
      <w:tr>
        <w:trPr>
          <w:trHeight w:val="552" w:hRule="atLeast"/>
        </w:trPr>
        <w:tc>
          <w:tcPr>
            <w:tcW w:w="10320" w:type="dxa"/>
            <w:gridSpan w:val="2"/>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0"/>
              <w:rPr/>
            </w:pPr>
            <w:r>
              <w:rPr>
                <w:rFonts w:eastAsia="Verdana" w:cs="Verdana" w:ascii="Verdana" w:hAnsi="Verdana"/>
                <w:b/>
                <w:bCs/>
              </w:rPr>
              <w:t>Accountable to</w:t>
            </w:r>
            <w:r>
              <w:rPr>
                <w:rFonts w:eastAsia="Verdana" w:cs="Verdana" w:ascii="Verdana" w:hAnsi="Verdana"/>
              </w:rPr>
              <w:t>: Director of Place</w:t>
            </w:r>
          </w:p>
        </w:tc>
      </w:tr>
      <w:tr>
        <w:trPr>
          <w:trHeight w:val="593" w:hRule="atLeast"/>
        </w:trPr>
        <w:tc>
          <w:tcPr>
            <w:tcW w:w="10320" w:type="dxa"/>
            <w:gridSpan w:val="2"/>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0"/>
              <w:rPr/>
            </w:pPr>
            <w:r>
              <w:rPr>
                <w:rFonts w:eastAsia="Verdana" w:cs="Verdana" w:ascii="Verdana" w:hAnsi="Verdana"/>
                <w:b/>
                <w:bCs/>
              </w:rPr>
              <w:t>Immediately Responsible to</w:t>
            </w:r>
            <w:r>
              <w:rPr>
                <w:rFonts w:eastAsia="Verdana" w:cs="Verdana" w:ascii="Verdana" w:hAnsi="Verdana"/>
              </w:rPr>
              <w:t>: Director of Regeneration &amp; Project Delivery</w:t>
            </w:r>
          </w:p>
        </w:tc>
      </w:tr>
      <w:tr>
        <w:trPr>
          <w:trHeight w:val="821" w:hRule="atLeast"/>
        </w:trPr>
        <w:tc>
          <w:tcPr>
            <w:tcW w:w="10320" w:type="dxa"/>
            <w:gridSpan w:val="2"/>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lineRule="auto" w:line="240" w:before="0" w:after="0"/>
              <w:jc w:val="both"/>
              <w:rPr/>
            </w:pPr>
            <w:r>
              <w:rPr>
                <w:rFonts w:eastAsia="Verdana" w:cs="Verdana" w:ascii="Verdana" w:hAnsi="Verdana"/>
                <w:b/>
                <w:bCs/>
              </w:rPr>
              <w:t>Immediately Responsible for</w:t>
            </w:r>
            <w:r>
              <w:rPr>
                <w:rFonts w:eastAsia="Verdana" w:cs="Verdana" w:ascii="Verdana" w:hAnsi="Verdana"/>
              </w:rPr>
              <w:t xml:space="preserve">: </w:t>
            </w:r>
          </w:p>
          <w:p>
            <w:pPr>
              <w:pStyle w:val="Normal"/>
              <w:spacing w:lineRule="auto" w:line="240" w:before="0" w:after="0"/>
              <w:jc w:val="both"/>
              <w:rPr>
                <w:rFonts w:ascii="Verdana" w:hAnsi="Verdana" w:eastAsia="Verdana" w:cs="Verdana"/>
              </w:rPr>
            </w:pPr>
            <w:r>
              <w:rPr>
                <w:rFonts w:eastAsia="Verdana" w:cs="Verdana" w:ascii="Verdana" w:hAnsi="Verdana"/>
              </w:rPr>
            </w:r>
          </w:p>
          <w:p>
            <w:pPr>
              <w:pStyle w:val="Normal"/>
              <w:spacing w:lineRule="auto" w:line="240" w:before="0" w:after="0"/>
              <w:jc w:val="both"/>
              <w:rPr/>
            </w:pPr>
            <w:r>
              <w:rPr>
                <w:rFonts w:eastAsia="Verdana" w:cs="Verdana" w:ascii="Verdana" w:hAnsi="Verdana"/>
              </w:rPr>
              <w:t>Major Projects Manager, interim Project Manager managing the thin client relationship, Joint Venture Board, Contractors, consultants and advisors and matrix management of any project staff retained.</w:t>
            </w:r>
            <w:r>
              <w:rPr>
                <w:rFonts w:eastAsia="Verdana" w:cs="Verdana" w:ascii="Verdana" w:hAnsi="Verdana"/>
                <w:b/>
                <w:bCs/>
              </w:rPr>
              <w:t xml:space="preserve"> </w:t>
            </w:r>
          </w:p>
        </w:tc>
      </w:tr>
      <w:tr>
        <w:trPr>
          <w:trHeight w:val="3924" w:hRule="atLeast"/>
        </w:trPr>
        <w:tc>
          <w:tcPr>
            <w:tcW w:w="10320" w:type="dxa"/>
            <w:gridSpan w:val="2"/>
            <w:tcBorders>
              <w:top w:val="double" w:sz="6" w:space="0" w:color="000000"/>
              <w:left w:val="single" w:sz="6" w:space="0" w:color="000000"/>
              <w:right w:val="single" w:sz="6" w:space="0" w:color="000000"/>
            </w:tcBorders>
            <w:shd w:fill="auto" w:val="clear"/>
            <w:vAlign w:val="bottom"/>
          </w:tcPr>
          <w:p>
            <w:pPr>
              <w:pStyle w:val="Normal"/>
              <w:spacing w:lineRule="auto" w:line="240" w:before="0" w:after="99"/>
              <w:rPr>
                <w:rFonts w:ascii="Verdana" w:hAnsi="Verdana" w:eastAsia="Verdana" w:cs="Verdana"/>
                <w:b/>
                <w:b/>
                <w:bCs/>
              </w:rPr>
            </w:pPr>
            <w:r>
              <w:rPr>
                <w:rFonts w:eastAsia="Verdana" w:cs="Verdana" w:ascii="Verdana" w:hAnsi="Verdana"/>
                <w:b/>
                <w:bCs/>
              </w:rPr>
              <w:t xml:space="preserve">Relationships: (Internal and External) </w:t>
            </w:r>
          </w:p>
          <w:p>
            <w:pPr>
              <w:pStyle w:val="Normal"/>
              <w:spacing w:lineRule="auto" w:line="235" w:before="0" w:after="122"/>
              <w:ind w:left="0" w:right="74" w:hanging="0"/>
              <w:jc w:val="both"/>
              <w:rPr>
                <w:rFonts w:ascii="Verdana" w:hAnsi="Verdana" w:cs="Verdana"/>
              </w:rPr>
            </w:pPr>
            <w:r>
              <w:rPr>
                <w:rFonts w:cs="Verdana" w:ascii="Verdana" w:hAnsi="Verdana"/>
              </w:rPr>
              <w:t>Responsible for a programme of capital projects in a specified town centre and economic location driving forwards a programme aligned to the Council’s Town Centre Masterplan and Places for Everyone policy.  The post holder will provide strategic leadership across the entire organisation including legal, finance, procurement, CAFM and others to ensure internal alignment of programmes, joined-up delivery, funding and investment decisions.</w:t>
            </w:r>
          </w:p>
          <w:p>
            <w:pPr>
              <w:pStyle w:val="Normal"/>
              <w:spacing w:lineRule="auto" w:line="235" w:before="0" w:after="122"/>
              <w:ind w:left="0" w:right="74" w:hanging="0"/>
              <w:jc w:val="both"/>
              <w:rPr>
                <w:rFonts w:ascii="Verdana" w:hAnsi="Verdana" w:cs="Verdana"/>
              </w:rPr>
            </w:pPr>
            <w:r>
              <w:rPr>
                <w:rFonts w:cs="Verdana" w:ascii="Verdana" w:hAnsi="Verdana"/>
              </w:rPr>
              <w:t>The post holder will be responsible for ensuring effective internal communication and reporting, including to the Bury Town Centre Programme Delivery Group and Partnership Group, Elected Members, Chief Executive, Executive Team, Senior Managers, Departmental Staff, Trade Unions on project progress.</w:t>
            </w:r>
          </w:p>
          <w:p>
            <w:pPr>
              <w:pStyle w:val="Normal"/>
              <w:spacing w:lineRule="auto" w:line="235" w:before="0" w:after="122"/>
              <w:ind w:left="0" w:right="74" w:hanging="0"/>
              <w:jc w:val="both"/>
              <w:rPr>
                <w:rFonts w:ascii="Verdana" w:hAnsi="Verdana" w:cs="Verdana"/>
              </w:rPr>
            </w:pPr>
            <w:r>
              <w:rPr>
                <w:rFonts w:cs="Verdana" w:ascii="Verdana" w:hAnsi="Verdana"/>
              </w:rPr>
              <w:t xml:space="preserve">The Head of Regeneration will assume service management responsibilities for a multidisciplinary team, monitoring performance of the service, and lead resource allocation over a programme of projects. </w:t>
            </w:r>
          </w:p>
          <w:p>
            <w:pPr>
              <w:pStyle w:val="Default"/>
              <w:spacing w:lineRule="auto" w:line="240" w:before="0" w:after="0"/>
              <w:jc w:val="both"/>
              <w:rPr>
                <w:sz w:val="22"/>
                <w:szCs w:val="22"/>
              </w:rPr>
            </w:pPr>
            <w:r>
              <w:rPr>
                <w:sz w:val="22"/>
                <w:szCs w:val="22"/>
              </w:rPr>
              <w:t>Chiefly, the position will lead on managing strategic relationships which influence high-level regeneration and place shaping investment opportunities for Bury. This will involve influencing GMCA, TfGM, Homes England, Government departments, commercial investment partners, JV Boards, agents, landowners, property and estate related consultants, external legal, contractors, investors, businesses and the Council’s in-house housing management function to ensure timely delivery of the programme with funding strategies attached.</w:t>
            </w:r>
          </w:p>
        </w:tc>
      </w:tr>
    </w:tbl>
    <w:p>
      <w:pPr>
        <w:pStyle w:val="Normal"/>
        <w:spacing w:before="0" w:after="0"/>
        <w:ind w:left="-720" w:right="11058" w:hanging="0"/>
        <w:rPr/>
      </w:pPr>
      <w:r>
        <w:rPr/>
      </w:r>
    </w:p>
    <w:tbl>
      <w:tblPr>
        <w:tblW w:w="10697" w:type="dxa"/>
        <w:jc w:val="left"/>
        <w:tblInd w:w="-115" w:type="dxa"/>
        <w:tblCellMar>
          <w:top w:w="0" w:type="dxa"/>
          <w:left w:w="108" w:type="dxa"/>
          <w:bottom w:w="0" w:type="dxa"/>
          <w:right w:w="108" w:type="dxa"/>
        </w:tblCellMar>
      </w:tblPr>
      <w:tblGrid>
        <w:gridCol w:w="4525"/>
        <w:gridCol w:w="3512"/>
        <w:gridCol w:w="2660"/>
      </w:tblGrid>
      <w:tr>
        <w:trPr>
          <w:trHeight w:val="432" w:hRule="atLeast"/>
        </w:trPr>
        <w:tc>
          <w:tcPr>
            <w:tcW w:w="10697" w:type="dxa"/>
            <w:gridSpan w:val="3"/>
            <w:tcBorders>
              <w:top w:val="double" w:sz="6" w:space="0" w:color="000000"/>
              <w:left w:val="single" w:sz="6" w:space="0" w:color="000000"/>
              <w:bottom w:val="double" w:sz="6" w:space="0" w:color="000000"/>
              <w:right w:val="single" w:sz="6" w:space="0" w:color="000000"/>
            </w:tcBorders>
            <w:shd w:fill="auto" w:val="clear"/>
          </w:tcPr>
          <w:p>
            <w:pPr>
              <w:pStyle w:val="Normal"/>
              <w:snapToGrid w:val="false"/>
              <w:spacing w:lineRule="auto" w:line="240" w:before="0" w:after="0"/>
              <w:rPr/>
            </w:pPr>
            <w:r>
              <w:rPr/>
            </w:r>
          </w:p>
        </w:tc>
      </w:tr>
      <w:tr>
        <w:trPr>
          <w:trHeight w:val="1248" w:hRule="atLeast"/>
        </w:trPr>
        <w:tc>
          <w:tcPr>
            <w:tcW w:w="10697" w:type="dxa"/>
            <w:gridSpan w:val="3"/>
            <w:tcBorders>
              <w:top w:val="double" w:sz="6" w:space="0" w:color="000000"/>
              <w:left w:val="single" w:sz="6" w:space="0" w:color="000000"/>
              <w:bottom w:val="single" w:sz="6" w:space="0" w:color="000000"/>
              <w:right w:val="single" w:sz="6" w:space="0" w:color="000000"/>
            </w:tcBorders>
            <w:shd w:fill="auto" w:val="clear"/>
            <w:vAlign w:val="center"/>
          </w:tcPr>
          <w:p>
            <w:pPr>
              <w:pStyle w:val="Normal"/>
              <w:spacing w:lineRule="auto" w:line="240" w:before="0" w:after="96"/>
              <w:rPr/>
            </w:pPr>
            <w:r>
              <w:rPr>
                <w:rFonts w:eastAsia="Verdana" w:cs="Verdana" w:ascii="Verdana" w:hAnsi="Verdana"/>
                <w:b/>
                <w:bCs/>
              </w:rPr>
              <w:t>Control of Resources</w:t>
            </w:r>
            <w:r>
              <w:rPr>
                <w:rFonts w:eastAsia="Verdana" w:cs="Verdana" w:ascii="Verdana" w:hAnsi="Verdana"/>
              </w:rPr>
              <w:t xml:space="preserve">:  </w:t>
            </w:r>
          </w:p>
          <w:p>
            <w:pPr>
              <w:pStyle w:val="Normal"/>
              <w:spacing w:lineRule="auto" w:line="240" w:before="0" w:after="0"/>
              <w:jc w:val="both"/>
              <w:rPr>
                <w:rFonts w:ascii="Verdana" w:hAnsi="Verdana" w:eastAsia="Verdana" w:cs="Verdana"/>
              </w:rPr>
            </w:pPr>
            <w:r>
              <w:rPr>
                <w:rFonts w:eastAsia="Verdana" w:cs="Verdana" w:ascii="Verdana" w:hAnsi="Verdana"/>
              </w:rPr>
              <w:t xml:space="preserve">The post holder will be responsible for co-ordinating the deployment of resources associated with the Council Capital budgets. </w:t>
            </w:r>
          </w:p>
        </w:tc>
      </w:tr>
      <w:tr>
        <w:trPr>
          <w:trHeight w:val="13555" w:hRule="atLeast"/>
        </w:trPr>
        <w:tc>
          <w:tcPr>
            <w:tcW w:w="10697" w:type="dxa"/>
            <w:gridSpan w:val="3"/>
            <w:tcBorders>
              <w:top w:val="single" w:sz="6" w:space="0" w:color="000000"/>
              <w:left w:val="single" w:sz="6" w:space="0" w:color="000000"/>
              <w:right w:val="single" w:sz="6" w:space="0" w:color="000000"/>
            </w:tcBorders>
            <w:shd w:fill="auto" w:val="clear"/>
            <w:vAlign w:val="bottom"/>
          </w:tcPr>
          <w:p>
            <w:pPr>
              <w:pStyle w:val="Normal"/>
              <w:spacing w:lineRule="auto" w:line="240" w:before="0" w:after="219"/>
              <w:rPr/>
            </w:pPr>
            <w:r>
              <w:rPr>
                <w:rFonts w:eastAsia="Verdana" w:cs="Verdana" w:ascii="Verdana" w:hAnsi="Verdana"/>
                <w:b/>
                <w:bCs/>
              </w:rPr>
              <w:t>Duties/Responsibilities</w:t>
            </w:r>
            <w:r>
              <w:rPr>
                <w:rFonts w:eastAsia="Verdana" w:cs="Verdana" w:ascii="Verdana" w:hAnsi="Verdana"/>
              </w:rPr>
              <w:t xml:space="preserve">:  </w:t>
            </w:r>
          </w:p>
          <w:p>
            <w:pPr>
              <w:pStyle w:val="Normal"/>
              <w:numPr>
                <w:ilvl w:val="0"/>
                <w:numId w:val="1"/>
              </w:numPr>
              <w:spacing w:lineRule="auto" w:line="242" w:before="0" w:after="112"/>
              <w:ind w:left="360" w:right="75" w:hanging="360"/>
              <w:jc w:val="both"/>
              <w:rPr>
                <w:rFonts w:ascii="Verdana" w:hAnsi="Verdana" w:cs="Verdana"/>
              </w:rPr>
            </w:pPr>
            <w:r>
              <w:rPr>
                <w:rFonts w:cs="Verdana" w:ascii="Verdana" w:hAnsi="Verdana"/>
              </w:rPr>
              <w:t>Lead and curate Single Regeneration Frameworks/Masterplans for Bury and ensure their effective implementation.</w:t>
            </w:r>
          </w:p>
          <w:p>
            <w:pPr>
              <w:pStyle w:val="Normal"/>
              <w:numPr>
                <w:ilvl w:val="0"/>
                <w:numId w:val="1"/>
              </w:numPr>
              <w:spacing w:lineRule="auto" w:line="242" w:before="0" w:after="112"/>
              <w:ind w:left="360" w:right="75" w:hanging="360"/>
              <w:jc w:val="both"/>
              <w:rPr/>
            </w:pPr>
            <w:r>
              <w:rPr>
                <w:rFonts w:eastAsia="Verdana" w:cs="Verdana" w:ascii="Verdana" w:hAnsi="Verdana"/>
              </w:rPr>
              <w:t xml:space="preserve">Manage and coordinate programmes of work that will help to deliver the ambitions of the Bury Let’s Do It! 2030 Strategy. </w:t>
            </w:r>
          </w:p>
          <w:p>
            <w:pPr>
              <w:pStyle w:val="Normal"/>
              <w:numPr>
                <w:ilvl w:val="0"/>
                <w:numId w:val="1"/>
              </w:numPr>
              <w:spacing w:lineRule="auto" w:line="242" w:before="0" w:after="112"/>
              <w:ind w:left="360" w:right="75" w:hanging="360"/>
              <w:jc w:val="both"/>
              <w:rPr/>
            </w:pPr>
            <w:r>
              <w:rPr>
                <w:rFonts w:cs="Verdana" w:ascii="Verdana" w:hAnsi="Verdana"/>
              </w:rPr>
              <w:t xml:space="preserve">Provide strategic leadership of the council’s capital regeneration programme.  </w:t>
            </w:r>
            <w:r>
              <w:rPr>
                <w:rFonts w:eastAsia="Verdana" w:cs="Verdana" w:ascii="Verdana" w:hAnsi="Verdana"/>
              </w:rPr>
              <w:t xml:space="preserve">Act as lead for the Council on a portfolio of projects which will likely be geographically clustered and take ownership of the multi-year programme and delivery strategy (these can may include new public buildings, commercial estate, retail and leisure facilities, cleared land and bespoke opportunities that are unique to a particular place.) </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Provide leadership, direction and sequencing over major capital projects, managing key interfaces and have visible oversight of master programmes of works being delivered in a particular place ensuring joined up delivery of relevant Strategic Regeneration Frameworks.</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Represent Bury Council as part of the Bury/Bruntwood JV to progress the Mill Gate Strategic Regeneration Framework (SRF) and facilitate implementation of a first phase of development within the SRF boundary, the resultant asset management strategy and ensuring connectivity with neighboring sites.</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Facilitate a one council programme approach and common understanding across highways, schools, housing or other types of capital or infrastructure investment to mitigate risk occurring from concurrent/overlapping programmes of work.</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Nominated lead officer on inward investment strategies, relating to de-risking key development sites, influencing high level policy around grant funding and investment loans from MCHLG, Homes England and GMCA.</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 xml:space="preserve">Work with potential commercial private investors and developers and identify opportunities for alignment of strategic housing &amp; regeneration plans, ensure a commercial and/or financial case for land disposal exists and foster a business case process in line with HMT Green book principles and Best Consideration principles in the Local Government Act. </w:t>
            </w:r>
          </w:p>
          <w:p>
            <w:pPr>
              <w:pStyle w:val="Normal"/>
              <w:numPr>
                <w:ilvl w:val="0"/>
                <w:numId w:val="1"/>
              </w:numPr>
              <w:spacing w:lineRule="auto" w:line="240" w:before="0" w:after="237"/>
              <w:ind w:left="360" w:right="75" w:hanging="360"/>
              <w:jc w:val="both"/>
              <w:rPr>
                <w:rFonts w:ascii="Verdana" w:hAnsi="Verdana" w:eastAsia="Verdana" w:cs="Verdana"/>
              </w:rPr>
            </w:pPr>
            <w:r>
              <w:rPr>
                <w:rFonts w:eastAsia="Verdana" w:cs="Verdana" w:ascii="Verdana" w:hAnsi="Verdana"/>
              </w:rPr>
              <w:t xml:space="preserve">Lead individual development appraisals and update the financial forecasts on a regular basis, working on innovative funding strategies to help unlock sites for commercial and/or housing use.  Lead on holding the strategy for the future development planning of the specific place you are assigned as development lead.  </w:t>
            </w:r>
          </w:p>
          <w:p>
            <w:pPr>
              <w:pStyle w:val="Normal"/>
              <w:numPr>
                <w:ilvl w:val="0"/>
                <w:numId w:val="1"/>
              </w:numPr>
              <w:spacing w:lineRule="auto" w:line="242" w:before="0" w:after="232"/>
              <w:ind w:left="360" w:right="75" w:hanging="360"/>
              <w:jc w:val="both"/>
              <w:rPr>
                <w:rFonts w:ascii="Verdana" w:hAnsi="Verdana" w:eastAsia="Verdana" w:cs="Verdana"/>
              </w:rPr>
            </w:pPr>
            <w:r>
              <w:rPr>
                <w:rFonts w:eastAsia="Verdana" w:cs="Verdana" w:ascii="Verdana" w:hAnsi="Verdana"/>
              </w:rPr>
              <w:t xml:space="preserve">Lead a phasing plan for re-development programmes – demonstrating an understanding of the financial and funding implications of changes to the plan. </w:t>
            </w:r>
          </w:p>
          <w:p>
            <w:pPr>
              <w:pStyle w:val="Normal"/>
              <w:numPr>
                <w:ilvl w:val="0"/>
                <w:numId w:val="1"/>
              </w:numPr>
              <w:spacing w:lineRule="auto" w:line="244" w:before="0" w:after="229"/>
              <w:ind w:left="360" w:right="75" w:hanging="360"/>
              <w:jc w:val="both"/>
              <w:rPr>
                <w:rFonts w:ascii="Verdana" w:hAnsi="Verdana" w:eastAsia="Verdana" w:cs="Verdana"/>
              </w:rPr>
            </w:pPr>
            <w:r>
              <w:rPr>
                <w:rFonts w:eastAsia="Verdana" w:cs="Verdana" w:ascii="Verdana" w:hAnsi="Verdana"/>
              </w:rPr>
              <w:t xml:space="preserve">Prepare business and investment cases in circumstances where the Council will act as a direct investor. </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 xml:space="preserve">Work with potential commercial and private investors and strike deals (including but not exclusively as part of formalized Joint Venture arrangements) where the objectives of the areas strategic housing &amp; regeneration plans can be met and a commercial case for retaining and redeveloping assets and/or land disposal exists. </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Co-ordinate and lead stakeholder engagement and interfaces around key development sites, working in partnership with TfGM (as part of informal and/or formal agreements), and along-side infrastructure works, maximizing funding potential particularly in the area of public realm and active travel and ensure common place goals are achieved.</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Develop a stakeholder-focused and flexible culture that is responsive, alert to organizational requirements, competing priorities and adaptable to a variety of internal and external customer and stakeholder needs.</w:t>
            </w:r>
          </w:p>
          <w:p>
            <w:pPr>
              <w:pStyle w:val="Normal"/>
              <w:numPr>
                <w:ilvl w:val="0"/>
                <w:numId w:val="1"/>
              </w:numPr>
              <w:spacing w:lineRule="auto" w:line="240" w:before="0" w:after="235"/>
              <w:ind w:left="360" w:right="75" w:hanging="360"/>
              <w:jc w:val="both"/>
              <w:rPr>
                <w:rFonts w:ascii="Verdana" w:hAnsi="Verdana" w:eastAsia="Verdana" w:cs="Verdana"/>
              </w:rPr>
            </w:pPr>
            <w:r>
              <w:rPr>
                <w:rFonts w:eastAsia="Verdana" w:cs="Verdana" w:ascii="Verdana" w:hAnsi="Verdana"/>
              </w:rPr>
              <w:t xml:space="preserve">Lead optioneering processes and ensuring a robust investment case and/or invest to save principles on housing/site acquisitions with a clear evidence base of need and demand. </w:t>
            </w:r>
          </w:p>
          <w:p>
            <w:pPr>
              <w:pStyle w:val="ListParagraph"/>
              <w:numPr>
                <w:ilvl w:val="0"/>
                <w:numId w:val="3"/>
              </w:numPr>
              <w:spacing w:lineRule="auto" w:line="240" w:before="0" w:after="235"/>
              <w:ind w:left="360" w:right="75" w:hanging="360"/>
              <w:contextualSpacing/>
              <w:jc w:val="both"/>
              <w:rPr>
                <w:rFonts w:ascii="Verdana" w:hAnsi="Verdana" w:eastAsia="Verdana" w:cs="Verdana"/>
              </w:rPr>
            </w:pPr>
            <w:r>
              <w:rPr>
                <w:rFonts w:eastAsia="Verdana" w:cs="Verdana" w:ascii="Verdana" w:hAnsi="Verdana"/>
              </w:rPr>
              <w:t xml:space="preserve">Provide strategic oversight over the viability of individual elements of the scheme and work with service leads to ensure operational requirements are evidenced </w:t>
            </w:r>
          </w:p>
          <w:p>
            <w:pPr>
              <w:pStyle w:val="Normal"/>
              <w:numPr>
                <w:ilvl w:val="0"/>
                <w:numId w:val="1"/>
              </w:numPr>
              <w:spacing w:lineRule="auto" w:line="240" w:before="0" w:after="237"/>
              <w:ind w:left="360" w:right="75" w:hanging="360"/>
              <w:jc w:val="both"/>
              <w:rPr>
                <w:rFonts w:ascii="Verdana" w:hAnsi="Verdana" w:eastAsia="Verdana" w:cs="Verdana"/>
              </w:rPr>
            </w:pPr>
            <w:r>
              <w:rPr>
                <w:rFonts w:eastAsia="Verdana" w:cs="Verdana" w:ascii="Verdana" w:hAnsi="Verdana"/>
              </w:rPr>
              <w:t xml:space="preserve">Oversee development of commercial terms and legal agreements/delivery vehicles, and ensure effective monitoring and reporting against agreed programme of activity.  </w:t>
            </w:r>
          </w:p>
          <w:p>
            <w:pPr>
              <w:pStyle w:val="Normal"/>
              <w:numPr>
                <w:ilvl w:val="0"/>
                <w:numId w:val="1"/>
              </w:numPr>
              <w:spacing w:lineRule="auto" w:line="240" w:before="0" w:after="237"/>
              <w:ind w:left="360" w:right="75" w:hanging="360"/>
              <w:jc w:val="both"/>
              <w:rPr>
                <w:rFonts w:ascii="Verdana" w:hAnsi="Verdana" w:eastAsia="Verdana" w:cs="Verdana"/>
              </w:rPr>
            </w:pPr>
            <w:r>
              <w:rPr>
                <w:rFonts w:eastAsia="Verdana" w:cs="Verdana" w:ascii="Verdana" w:hAnsi="Verdana"/>
              </w:rPr>
              <w:t>Act as strategic lead for a Programme of Capital work, ensuring Project Management provisions necessary to support direct development projects.</w:t>
            </w:r>
          </w:p>
          <w:p>
            <w:pPr>
              <w:pStyle w:val="Normal"/>
              <w:numPr>
                <w:ilvl w:val="0"/>
                <w:numId w:val="1"/>
              </w:numPr>
              <w:spacing w:lineRule="auto" w:line="240" w:before="0" w:after="237"/>
              <w:ind w:left="360" w:right="75" w:hanging="360"/>
              <w:jc w:val="both"/>
              <w:rPr>
                <w:rFonts w:ascii="Verdana" w:hAnsi="Verdana" w:eastAsia="Verdana" w:cs="Verdana"/>
              </w:rPr>
            </w:pPr>
            <w:r>
              <w:rPr>
                <w:rFonts w:eastAsia="Verdana" w:cs="Verdana" w:ascii="Verdana" w:hAnsi="Verdana"/>
              </w:rPr>
              <w:t xml:space="preserve">Oversee the sign-off all externally generated professional contracted inputs with Chief Officer delegation levels and ensure value for money and proper oversight of contract management. </w:t>
            </w:r>
          </w:p>
          <w:p>
            <w:pPr>
              <w:pStyle w:val="Normal"/>
              <w:numPr>
                <w:ilvl w:val="0"/>
                <w:numId w:val="1"/>
              </w:numPr>
              <w:spacing w:lineRule="auto" w:line="240" w:before="0" w:after="237"/>
              <w:ind w:left="360" w:right="75" w:hanging="360"/>
              <w:jc w:val="both"/>
              <w:rPr>
                <w:rFonts w:ascii="Verdana" w:hAnsi="Verdana" w:eastAsia="Verdana" w:cs="Verdana"/>
              </w:rPr>
            </w:pPr>
            <w:r>
              <w:rPr>
                <w:rFonts w:eastAsia="Verdana" w:cs="Verdana" w:ascii="Verdana" w:hAnsi="Verdana"/>
              </w:rPr>
              <w:t>Contribute to new and emerging governance models for decision making at project, programme and portfolio level and act as a champion for the gateway system. Provide updates and information on the progress of key schemes to the newly created governance arrangements for your assigned place and provide input into the Council’s Town Centre programme governance in particular.</w:t>
            </w:r>
          </w:p>
          <w:p>
            <w:pPr>
              <w:pStyle w:val="Normal"/>
              <w:numPr>
                <w:ilvl w:val="0"/>
                <w:numId w:val="1"/>
              </w:numPr>
              <w:spacing w:lineRule="auto" w:line="244" w:before="0" w:after="109"/>
              <w:ind w:left="360" w:right="75" w:hanging="360"/>
              <w:jc w:val="both"/>
              <w:rPr>
                <w:rFonts w:ascii="Verdana" w:hAnsi="Verdana" w:eastAsia="Verdana" w:cs="Verdana"/>
              </w:rPr>
            </w:pPr>
            <w:r>
              <w:rPr>
                <w:rFonts w:eastAsia="Verdana" w:cs="Verdana" w:ascii="Verdana" w:hAnsi="Verdana"/>
              </w:rPr>
              <w:t>Support on compiling briefings for the Chief Executive, Leader and wider service for all Greater Manchester meetings, reading all papers and holding regular briefing sessions.</w:t>
            </w:r>
          </w:p>
          <w:p>
            <w:pPr>
              <w:pStyle w:val="Normal"/>
              <w:numPr>
                <w:ilvl w:val="0"/>
                <w:numId w:val="1"/>
              </w:numPr>
              <w:spacing w:lineRule="auto" w:line="244" w:before="0" w:after="109"/>
              <w:ind w:left="360" w:right="75" w:hanging="360"/>
              <w:jc w:val="both"/>
              <w:rPr>
                <w:rFonts w:ascii="Verdana" w:hAnsi="Verdana" w:eastAsia="Verdana" w:cs="Verdana"/>
              </w:rPr>
            </w:pPr>
            <w:r>
              <w:rPr>
                <w:rFonts w:eastAsia="Verdana" w:cs="Verdana" w:ascii="Verdana" w:hAnsi="Verdana"/>
              </w:rPr>
              <w:t xml:space="preserve">Assess political pressures and agendas on service delivery and tailor plans/activity accordingly.   </w:t>
            </w:r>
          </w:p>
          <w:p>
            <w:pPr>
              <w:pStyle w:val="Normal"/>
              <w:numPr>
                <w:ilvl w:val="0"/>
                <w:numId w:val="1"/>
              </w:numPr>
              <w:spacing w:lineRule="auto" w:line="240" w:before="0" w:after="115"/>
              <w:ind w:left="360" w:right="75" w:hanging="360"/>
              <w:jc w:val="both"/>
              <w:rPr>
                <w:rFonts w:ascii="Verdana" w:hAnsi="Verdana" w:eastAsia="Verdana" w:cs="Verdana"/>
              </w:rPr>
            </w:pPr>
            <w:r>
              <w:rPr>
                <w:rFonts w:eastAsia="Verdana" w:cs="Verdana" w:ascii="Verdana" w:hAnsi="Verdana"/>
              </w:rPr>
              <w:t xml:space="preserve">Be responsible for the development and management of the forward plan for council committees including Cabinet and Scrutiny Committee through liaison with the Department and Democratic Services. </w:t>
            </w:r>
          </w:p>
          <w:p>
            <w:pPr>
              <w:pStyle w:val="Normal"/>
              <w:numPr>
                <w:ilvl w:val="0"/>
                <w:numId w:val="1"/>
              </w:numPr>
              <w:spacing w:lineRule="auto" w:line="240" w:before="0" w:after="115"/>
              <w:ind w:left="360" w:right="75" w:hanging="360"/>
              <w:jc w:val="both"/>
              <w:rPr>
                <w:rFonts w:ascii="Verdana" w:hAnsi="Verdana" w:eastAsia="Verdana" w:cs="Verdana"/>
              </w:rPr>
            </w:pPr>
            <w:r>
              <w:rPr>
                <w:rFonts w:eastAsia="Verdana" w:cs="Verdana" w:ascii="Verdana" w:hAnsi="Verdana"/>
              </w:rPr>
              <w:t xml:space="preserve">Lead the service’s approach to risk, ensuring effective risk management protocols are in place and appropriate mitigations at programme level. </w:t>
            </w:r>
          </w:p>
          <w:p>
            <w:pPr>
              <w:pStyle w:val="Normal"/>
              <w:numPr>
                <w:ilvl w:val="0"/>
                <w:numId w:val="1"/>
              </w:numPr>
              <w:spacing w:lineRule="auto" w:line="240" w:before="0" w:after="115"/>
              <w:ind w:left="360" w:right="75" w:hanging="360"/>
              <w:jc w:val="both"/>
              <w:rPr>
                <w:rFonts w:ascii="Verdana" w:hAnsi="Verdana" w:eastAsia="Verdana" w:cs="Verdana"/>
              </w:rPr>
            </w:pPr>
            <w:r>
              <w:rPr>
                <w:rFonts w:eastAsia="Verdana" w:cs="Verdana" w:ascii="Verdana" w:hAnsi="Verdana"/>
              </w:rPr>
              <w:t xml:space="preserve">Effectively manage the Service Plan and Service budget, ensuring spending within agreed limits and delegations and provide regular updates on the overall programme budget, advising the senior managers within the directorate and Elected Members on service priorities and implications of budgetary options. </w:t>
            </w:r>
          </w:p>
          <w:p>
            <w:pPr>
              <w:pStyle w:val="Normal"/>
              <w:numPr>
                <w:ilvl w:val="0"/>
                <w:numId w:val="1"/>
              </w:numPr>
              <w:spacing w:lineRule="auto" w:line="244" w:before="0" w:after="109"/>
              <w:ind w:left="360" w:right="75" w:hanging="360"/>
              <w:jc w:val="both"/>
              <w:rPr>
                <w:rFonts w:ascii="Verdana" w:hAnsi="Verdana" w:eastAsia="Verdana" w:cs="Verdana"/>
              </w:rPr>
            </w:pPr>
            <w:r>
              <w:rPr>
                <w:rFonts w:eastAsia="Verdana" w:cs="Verdana" w:ascii="Verdana" w:hAnsi="Verdana"/>
              </w:rPr>
              <w:t>Ensure you operate within GDPR guidelines by regularly reviewing data held and destroying information in line with retention schedules.</w:t>
            </w:r>
          </w:p>
          <w:p>
            <w:pPr>
              <w:pStyle w:val="Normal"/>
              <w:spacing w:lineRule="auto" w:line="240" w:before="0" w:after="0"/>
              <w:ind w:left="360" w:right="75" w:hanging="0"/>
              <w:jc w:val="both"/>
              <w:rPr/>
            </w:pPr>
            <w:r>
              <w:rPr/>
            </w:r>
          </w:p>
        </w:tc>
      </w:tr>
      <w:tr>
        <w:trPr>
          <w:trHeight w:val="6377" w:hRule="atLeast"/>
        </w:trPr>
        <w:tc>
          <w:tcPr>
            <w:tcW w:w="10697" w:type="dxa"/>
            <w:gridSpan w:val="3"/>
            <w:tcBorders>
              <w:left w:val="single" w:sz="6" w:space="0" w:color="000000"/>
              <w:bottom w:val="single" w:sz="4" w:space="0" w:color="000000"/>
              <w:right w:val="single" w:sz="6" w:space="0" w:color="000000"/>
            </w:tcBorders>
            <w:shd w:fill="auto" w:val="clear"/>
          </w:tcPr>
          <w:p>
            <w:pPr>
              <w:pStyle w:val="Normal"/>
              <w:spacing w:lineRule="auto" w:line="240" w:before="0" w:after="217"/>
              <w:ind w:left="0" w:right="44" w:hanging="0"/>
              <w:jc w:val="center"/>
              <w:rPr>
                <w:rFonts w:ascii="Verdana" w:hAnsi="Verdana" w:eastAsia="Verdana" w:cs="Verdana"/>
              </w:rPr>
            </w:pPr>
            <w:r>
              <w:rPr>
                <w:rFonts w:eastAsia="Verdana" w:cs="Verdana" w:ascii="Verdana" w:hAnsi="Verdana"/>
              </w:rPr>
              <w:t xml:space="preserve">MP’s and local ward councilors as well as community groups and key local stakeholders.  </w:t>
            </w:r>
          </w:p>
          <w:p>
            <w:pPr>
              <w:pStyle w:val="Normal"/>
              <w:numPr>
                <w:ilvl w:val="0"/>
                <w:numId w:val="4"/>
              </w:numPr>
              <w:spacing w:lineRule="auto" w:line="240" w:before="0" w:after="236"/>
              <w:ind w:left="360" w:right="105" w:hanging="360"/>
              <w:jc w:val="both"/>
              <w:rPr>
                <w:rFonts w:ascii="Verdana" w:hAnsi="Verdana" w:eastAsia="Verdana" w:cs="Verdana"/>
              </w:rPr>
            </w:pPr>
            <w:r>
              <w:rPr>
                <w:rFonts w:eastAsia="Verdana" w:cs="Verdana" w:ascii="Verdana" w:hAnsi="Verdana"/>
              </w:rPr>
              <w:t xml:space="preserve">Work to develop financial options for each phase – identifying options for external financial input and preparing investment case papers for the Council.  Establish the viability of individual elements of the scheme – prepare detailed papers for the Council to bring forward individual development options. </w:t>
            </w:r>
          </w:p>
          <w:p>
            <w:pPr>
              <w:pStyle w:val="Normal"/>
              <w:numPr>
                <w:ilvl w:val="0"/>
                <w:numId w:val="4"/>
              </w:numPr>
              <w:spacing w:lineRule="auto" w:line="240" w:before="0" w:after="237"/>
              <w:ind w:left="360" w:right="75" w:hanging="360"/>
              <w:jc w:val="both"/>
              <w:rPr>
                <w:rFonts w:ascii="Verdana" w:hAnsi="Verdana" w:cs="Verdana"/>
              </w:rPr>
            </w:pPr>
            <w:r>
              <w:rPr>
                <w:rFonts w:cs="Verdana" w:ascii="Verdana" w:hAnsi="Verdana"/>
              </w:rPr>
              <w:t>Nominated officer to lead all inward investment strategies relating to de-risking and unlocking development at key growth locations, including managing financial instruments, grant funding and investment loans from MCHLG, Homes England and GMCA.</w:t>
            </w:r>
          </w:p>
          <w:p>
            <w:pPr>
              <w:pStyle w:val="Normal"/>
              <w:numPr>
                <w:ilvl w:val="0"/>
                <w:numId w:val="4"/>
              </w:numPr>
              <w:spacing w:lineRule="auto" w:line="240" w:before="0" w:after="235"/>
              <w:ind w:left="360" w:right="105" w:hanging="360"/>
              <w:jc w:val="both"/>
              <w:rPr>
                <w:rFonts w:ascii="Verdana" w:hAnsi="Verdana" w:eastAsia="Verdana" w:cs="Verdana"/>
              </w:rPr>
            </w:pPr>
            <w:r>
              <w:rPr>
                <w:rFonts w:eastAsia="Verdana" w:cs="Verdana" w:ascii="Verdana" w:hAnsi="Verdana"/>
              </w:rPr>
              <w:t xml:space="preserve">Liaise with end-users and potential investors, work with other inward investment agencies and other bodies to secure tenants and commercial interest in the schemes which you are promoting.   </w:t>
            </w:r>
          </w:p>
          <w:p>
            <w:pPr>
              <w:pStyle w:val="Normal"/>
              <w:numPr>
                <w:ilvl w:val="0"/>
                <w:numId w:val="4"/>
              </w:numPr>
              <w:spacing w:lineRule="auto" w:line="240" w:before="0" w:after="235"/>
              <w:ind w:left="360" w:right="105" w:hanging="360"/>
              <w:jc w:val="both"/>
              <w:rPr>
                <w:rFonts w:ascii="Verdana" w:hAnsi="Verdana" w:eastAsia="Verdana" w:cs="Verdana"/>
              </w:rPr>
            </w:pPr>
            <w:r>
              <w:rPr>
                <w:rFonts w:eastAsia="Verdana" w:cs="Verdana" w:ascii="Verdana" w:hAnsi="Verdana"/>
              </w:rPr>
              <w:t xml:space="preserve">Identify bespoke opportunities for Council investment e.g joint ventures and other suitable vehicles to drive forward Bury’s regeneration plans.  Lead on implementing area development proposals, ensuring key internal staff are engaged from an early stage. </w:t>
            </w:r>
          </w:p>
          <w:p>
            <w:pPr>
              <w:pStyle w:val="Normal"/>
              <w:numPr>
                <w:ilvl w:val="0"/>
                <w:numId w:val="4"/>
              </w:numPr>
              <w:spacing w:lineRule="auto" w:line="244" w:before="0" w:after="229"/>
              <w:ind w:left="360" w:right="105" w:hanging="360"/>
              <w:jc w:val="both"/>
              <w:rPr>
                <w:rFonts w:ascii="Verdana" w:hAnsi="Verdana" w:eastAsia="Verdana" w:cs="Verdana"/>
              </w:rPr>
            </w:pPr>
            <w:r>
              <w:rPr>
                <w:rFonts w:eastAsia="Verdana" w:cs="Verdana" w:ascii="Verdana" w:hAnsi="Verdana"/>
              </w:rPr>
              <w:t>Chair the Programme Delivery Group and ensure Chief Executive is adequately briefed in advance of Partnership meetings ensuring effective project and programme reporting tools are in place and internal coordination of all parties work is agreed, actioned and reported.</w:t>
            </w:r>
          </w:p>
          <w:p>
            <w:pPr>
              <w:pStyle w:val="Normal"/>
              <w:numPr>
                <w:ilvl w:val="0"/>
                <w:numId w:val="4"/>
              </w:numPr>
              <w:spacing w:lineRule="auto" w:line="244" w:before="0" w:after="229"/>
              <w:ind w:left="360" w:right="105" w:hanging="360"/>
              <w:jc w:val="both"/>
              <w:rPr>
                <w:rFonts w:ascii="Verdana" w:hAnsi="Verdana" w:eastAsia="Verdana" w:cs="Verdana"/>
              </w:rPr>
            </w:pPr>
            <w:r>
              <w:rPr>
                <w:rFonts w:eastAsia="Verdana" w:cs="Verdana" w:ascii="Verdana" w:hAnsi="Verdana"/>
              </w:rPr>
              <w:t xml:space="preserve">Report progress to the Regeneration Board, Cabinet, Commercial, Legal and Estates board and Executive teams to ensure effective oversight of the programme, approvals, project reporting, risk registers and milestone plans. </w:t>
            </w:r>
          </w:p>
          <w:p>
            <w:pPr>
              <w:pStyle w:val="Normal"/>
              <w:numPr>
                <w:ilvl w:val="0"/>
                <w:numId w:val="4"/>
              </w:numPr>
              <w:spacing w:lineRule="auto" w:line="240" w:before="0" w:after="0"/>
              <w:ind w:left="360" w:right="105" w:hanging="360"/>
              <w:jc w:val="both"/>
              <w:rPr>
                <w:rFonts w:ascii="Verdana" w:hAnsi="Verdana" w:eastAsia="Verdana" w:cs="Verdana"/>
              </w:rPr>
            </w:pPr>
            <w:r>
              <w:rPr>
                <w:rFonts w:eastAsia="Verdana" w:cs="Verdana" w:ascii="Verdana" w:hAnsi="Verdana"/>
              </w:rPr>
              <w:t xml:space="preserve">Manage the project budgets, approving expenditure up to agreed limits.  Provide regular updates on the overall programme budget, individual project budgets and the management and administration budget. </w:t>
            </w:r>
          </w:p>
          <w:p>
            <w:pPr>
              <w:pStyle w:val="Normal"/>
              <w:spacing w:lineRule="auto" w:line="240" w:before="0" w:after="0"/>
              <w:ind w:left="360" w:right="105" w:hanging="0"/>
              <w:jc w:val="both"/>
              <w:rPr/>
            </w:pPr>
            <w:r>
              <w:rPr/>
            </w:r>
          </w:p>
        </w:tc>
      </w:tr>
      <w:tr>
        <w:trPr>
          <w:trHeight w:val="4610" w:hRule="atLeast"/>
        </w:trPr>
        <w:tc>
          <w:tcPr>
            <w:tcW w:w="10697" w:type="dxa"/>
            <w:gridSpan w:val="3"/>
            <w:tcBorders>
              <w:top w:val="single" w:sz="4" w:space="0" w:color="000000"/>
              <w:left w:val="single" w:sz="6" w:space="0" w:color="000000"/>
              <w:bottom w:val="double" w:sz="6" w:space="0" w:color="000000"/>
              <w:right w:val="single" w:sz="6" w:space="0" w:color="000000"/>
            </w:tcBorders>
            <w:shd w:fill="auto" w:val="clear"/>
            <w:vAlign w:val="center"/>
          </w:tcPr>
          <w:p>
            <w:pPr>
              <w:pStyle w:val="Normal"/>
              <w:numPr>
                <w:ilvl w:val="0"/>
                <w:numId w:val="2"/>
              </w:numPr>
              <w:spacing w:lineRule="auto" w:line="240" w:before="0" w:after="117"/>
              <w:ind w:left="360" w:right="0" w:hanging="360"/>
              <w:rPr>
                <w:rFonts w:ascii="Verdana" w:hAnsi="Verdana" w:eastAsia="Verdana" w:cs="Verdana"/>
              </w:rPr>
            </w:pPr>
            <w:r>
              <w:rPr>
                <w:rFonts w:eastAsia="Verdana" w:cs="Verdana" w:ascii="Verdana" w:hAnsi="Verdana"/>
              </w:rPr>
              <w:t xml:space="preserve">As an employee of Bury Council you have a responsibility for, and must be committed to, safeguarding and promoting the welfare of children, young people and vulnerable adults and for ensuring that they are protected from harm. </w:t>
            </w:r>
          </w:p>
          <w:p>
            <w:pPr>
              <w:pStyle w:val="Normal"/>
              <w:numPr>
                <w:ilvl w:val="0"/>
                <w:numId w:val="2"/>
              </w:numPr>
              <w:spacing w:lineRule="auto" w:line="240" w:before="0" w:after="118"/>
              <w:ind w:left="360" w:right="0" w:hanging="360"/>
              <w:rPr>
                <w:rFonts w:ascii="Verdana" w:hAnsi="Verdana" w:eastAsia="Verdana" w:cs="Verdana"/>
              </w:rPr>
            </w:pPr>
            <w:r>
              <w:rPr>
                <w:rFonts w:eastAsia="Verdana" w:cs="Verdana" w:ascii="Verdana" w:hAnsi="Verdana"/>
              </w:rPr>
              <w:t xml:space="preserve">Bury Council is committed to equality, diversity and inclusion, and expects all staff to comply with its equality related policies/procedures, and to treat others with fairness and respect. </w:t>
            </w:r>
          </w:p>
          <w:p>
            <w:pPr>
              <w:pStyle w:val="Normal"/>
              <w:numPr>
                <w:ilvl w:val="0"/>
                <w:numId w:val="2"/>
              </w:numPr>
              <w:spacing w:lineRule="auto" w:line="242" w:before="0" w:after="114"/>
              <w:ind w:left="360" w:right="0" w:hanging="360"/>
              <w:rPr/>
            </w:pPr>
            <w:r>
              <w:rPr>
                <w:rFonts w:eastAsia="Verdana" w:cs="Verdana" w:ascii="Verdana" w:hAnsi="Verdana"/>
              </w:rPr>
              <w:t>The post holder is responsible for Employees Duties as specified with the Corporate and Departmental Health and Safety Policies.</w:t>
            </w:r>
            <w:r>
              <w:rPr>
                <w:rFonts w:eastAsia="Verdana" w:cs="Verdana" w:ascii="Verdana" w:hAnsi="Verdana"/>
                <w:b/>
                <w:bCs/>
              </w:rPr>
              <w:t xml:space="preserve"> </w:t>
            </w:r>
            <w:r>
              <w:rPr>
                <w:rFonts w:eastAsia="Verdana" w:cs="Verdana" w:ascii="Verdana" w:hAnsi="Verdana"/>
              </w:rPr>
              <w:t xml:space="preserve"> </w:t>
            </w:r>
          </w:p>
          <w:p>
            <w:pPr>
              <w:pStyle w:val="Normal"/>
              <w:numPr>
                <w:ilvl w:val="0"/>
                <w:numId w:val="2"/>
              </w:numPr>
              <w:spacing w:lineRule="auto" w:line="242" w:before="0" w:after="234"/>
              <w:ind w:left="360" w:right="0" w:hanging="360"/>
              <w:rPr/>
            </w:pPr>
            <w:r>
              <w:rPr>
                <w:rFonts w:eastAsia="Verdana" w:cs="Verdana" w:ascii="Verdana" w:hAnsi="Verdana"/>
                <w:b/>
                <w:bCs/>
              </w:rPr>
              <w:t>Health and Wellbeing</w:t>
            </w:r>
            <w:r>
              <w:rPr>
                <w:rFonts w:eastAsia="Verdana" w:cs="Verdana" w:ascii="Verdana" w:hAnsi="Verdana"/>
              </w:rPr>
              <w:t xml:space="preserve"> -As an employee of Bury Council you should contribute to a culture that values and supports the physical and emotional wellbeing of your colleagues </w:t>
            </w:r>
          </w:p>
          <w:p>
            <w:pPr>
              <w:pStyle w:val="Normal"/>
              <w:spacing w:lineRule="auto" w:line="240" w:before="0" w:after="0"/>
              <w:ind w:left="0" w:right="83" w:hanging="0"/>
              <w:rPr/>
            </w:pPr>
            <w:r>
              <w:rPr>
                <w:rFonts w:eastAsia="Verdana" w:cs="Verdana" w:ascii="Verdana" w:hAnsi="Verdana"/>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r>
              <w:rPr>
                <w:rFonts w:eastAsia="Verdana" w:cs="Verdana" w:ascii="Verdana" w:hAnsi="Verdana"/>
                <w:b/>
                <w:bCs/>
              </w:rPr>
              <w:t xml:space="preserve"> </w:t>
            </w:r>
          </w:p>
        </w:tc>
      </w:tr>
      <w:tr>
        <w:trPr>
          <w:trHeight w:val="552" w:hRule="atLeast"/>
        </w:trPr>
        <w:tc>
          <w:tcPr>
            <w:tcW w:w="4525" w:type="dxa"/>
            <w:tcBorders>
              <w:top w:val="double" w:sz="6" w:space="0" w:color="000000"/>
              <w:left w:val="single" w:sz="6" w:space="0" w:color="000000"/>
              <w:bottom w:val="double" w:sz="6"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 xml:space="preserve">Job Description prepared by: </w:t>
            </w:r>
          </w:p>
        </w:tc>
        <w:tc>
          <w:tcPr>
            <w:tcW w:w="3512" w:type="dxa"/>
            <w:tcBorders>
              <w:top w:val="double" w:sz="6" w:space="0" w:color="000000"/>
              <w:left w:val="double" w:sz="6" w:space="0" w:color="000000"/>
              <w:bottom w:val="double" w:sz="6"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 xml:space="preserve">Sign </w:t>
            </w:r>
          </w:p>
        </w:tc>
        <w:tc>
          <w:tcPr>
            <w:tcW w:w="2660" w:type="dxa"/>
            <w:tcBorders>
              <w:top w:val="double" w:sz="6" w:space="0" w:color="000000"/>
              <w:left w:val="double" w:sz="6" w:space="0" w:color="000000"/>
              <w:bottom w:val="double" w:sz="6" w:space="0" w:color="000000"/>
              <w:right w:val="single" w:sz="6"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 xml:space="preserve">Date: </w:t>
            </w:r>
          </w:p>
        </w:tc>
      </w:tr>
      <w:tr>
        <w:trPr>
          <w:trHeight w:val="552" w:hRule="atLeast"/>
        </w:trPr>
        <w:tc>
          <w:tcPr>
            <w:tcW w:w="4525" w:type="dxa"/>
            <w:tcBorders>
              <w:top w:val="double" w:sz="6" w:space="0" w:color="000000"/>
              <w:left w:val="single" w:sz="6" w:space="0" w:color="000000"/>
              <w:bottom w:val="double" w:sz="6"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 xml:space="preserve">Agreed correct by Postholder:  </w:t>
            </w:r>
          </w:p>
        </w:tc>
        <w:tc>
          <w:tcPr>
            <w:tcW w:w="3512" w:type="dxa"/>
            <w:tcBorders>
              <w:top w:val="double" w:sz="6" w:space="0" w:color="000000"/>
              <w:left w:val="double" w:sz="6" w:space="0" w:color="000000"/>
              <w:bottom w:val="double" w:sz="6"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Sign:</w:t>
            </w:r>
          </w:p>
        </w:tc>
        <w:tc>
          <w:tcPr>
            <w:tcW w:w="2660" w:type="dxa"/>
            <w:tcBorders>
              <w:top w:val="double" w:sz="6" w:space="0" w:color="000000"/>
              <w:left w:val="double" w:sz="6" w:space="0" w:color="000000"/>
              <w:bottom w:val="double" w:sz="6" w:space="0" w:color="000000"/>
              <w:right w:val="single" w:sz="6"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 xml:space="preserve">Date: </w:t>
            </w:r>
          </w:p>
        </w:tc>
      </w:tr>
      <w:tr>
        <w:trPr>
          <w:trHeight w:val="806" w:hRule="atLeast"/>
        </w:trPr>
        <w:tc>
          <w:tcPr>
            <w:tcW w:w="4525" w:type="dxa"/>
            <w:tcBorders>
              <w:top w:val="double" w:sz="6" w:space="0" w:color="000000"/>
              <w:left w:val="single" w:sz="6" w:space="0" w:color="000000"/>
              <w:bottom w:val="single" w:sz="6"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 xml:space="preserve">Agreed correct by </w:t>
            </w:r>
          </w:p>
          <w:p>
            <w:pPr>
              <w:pStyle w:val="Normal"/>
              <w:spacing w:lineRule="auto" w:line="240" w:before="0" w:after="0"/>
              <w:rPr>
                <w:rFonts w:ascii="Verdana" w:hAnsi="Verdana" w:eastAsia="Verdana" w:cs="Verdana"/>
                <w:b/>
                <w:b/>
                <w:bCs/>
              </w:rPr>
            </w:pPr>
            <w:r>
              <w:rPr>
                <w:rFonts w:eastAsia="Verdana" w:cs="Verdana" w:ascii="Verdana" w:hAnsi="Verdana"/>
                <w:b/>
                <w:bCs/>
              </w:rPr>
              <w:t xml:space="preserve">Supervisor/Manager: </w:t>
            </w:r>
          </w:p>
        </w:tc>
        <w:tc>
          <w:tcPr>
            <w:tcW w:w="3512" w:type="dxa"/>
            <w:tcBorders>
              <w:top w:val="double" w:sz="6" w:space="0" w:color="000000"/>
              <w:left w:val="double" w:sz="6" w:space="0" w:color="000000"/>
              <w:bottom w:val="single" w:sz="6" w:space="0" w:color="000000"/>
            </w:tcBorders>
            <w:shd w:fill="auto" w:val="clear"/>
          </w:tcPr>
          <w:p>
            <w:pPr>
              <w:pStyle w:val="Normal"/>
              <w:spacing w:lineRule="auto" w:line="240" w:before="0" w:after="0"/>
              <w:rPr>
                <w:rFonts w:ascii="Verdana" w:hAnsi="Verdana" w:eastAsia="Verdana" w:cs="Verdana"/>
                <w:b/>
                <w:b/>
                <w:bCs/>
              </w:rPr>
            </w:pPr>
            <w:r>
              <w:rPr>
                <w:rFonts w:eastAsia="Verdana" w:cs="Verdana" w:ascii="Verdana" w:hAnsi="Verdana"/>
                <w:b/>
                <w:bCs/>
              </w:rPr>
              <w:t xml:space="preserve">Sign: </w:t>
            </w:r>
          </w:p>
        </w:tc>
        <w:tc>
          <w:tcPr>
            <w:tcW w:w="2660" w:type="dxa"/>
            <w:tcBorders>
              <w:top w:val="double" w:sz="6" w:space="0" w:color="000000"/>
              <w:left w:val="double" w:sz="6" w:space="0" w:color="000000"/>
              <w:bottom w:val="single" w:sz="6" w:space="0" w:color="000000"/>
              <w:right w:val="single" w:sz="6" w:space="0" w:color="000000"/>
            </w:tcBorders>
            <w:shd w:fill="auto" w:val="clear"/>
          </w:tcPr>
          <w:p>
            <w:pPr>
              <w:pStyle w:val="Normal"/>
              <w:spacing w:lineRule="auto" w:line="240" w:before="0" w:after="0"/>
              <w:rPr>
                <w:rFonts w:ascii="Verdana" w:hAnsi="Verdana" w:eastAsia="Verdana" w:cs="Verdana"/>
                <w:b/>
                <w:b/>
                <w:bCs/>
              </w:rPr>
            </w:pPr>
            <w:r>
              <w:rPr>
                <w:rFonts w:eastAsia="Verdana" w:cs="Verdana" w:ascii="Verdana" w:hAnsi="Verdana"/>
                <w:b/>
                <w:bCs/>
              </w:rPr>
              <w:t xml:space="preserve">Date: </w:t>
            </w:r>
          </w:p>
        </w:tc>
      </w:tr>
    </w:tbl>
    <w:p>
      <w:pPr>
        <w:pStyle w:val="Normal"/>
        <w:spacing w:before="0" w:after="0"/>
        <w:jc w:val="both"/>
        <w:rPr>
          <w:rFonts w:ascii="Verdana" w:hAnsi="Verdana" w:eastAsia="Verdana" w:cs="Verdana"/>
        </w:rPr>
      </w:pPr>
      <w:r>
        <w:rPr>
          <w:rFonts w:eastAsia="Verdana" w:cs="Verdana" w:ascii="Verdana" w:hAnsi="Verdana"/>
        </w:rPr>
        <w:t xml:space="preserve"> </w:t>
      </w:r>
    </w:p>
    <w:p>
      <w:pPr>
        <w:pStyle w:val="Normal"/>
        <w:spacing w:before="0" w:after="220"/>
        <w:rPr>
          <w:rFonts w:ascii="Verdana" w:hAnsi="Verdana" w:eastAsia="Verdana" w:cs="Verdana"/>
        </w:rPr>
      </w:pPr>
      <w:r>
        <w:rPr>
          <w:rFonts w:eastAsia="Verdana" w:cs="Verdana" w:ascii="Verdana" w:hAnsi="Verdana"/>
        </w:rPr>
        <w:t xml:space="preserve"> </w:t>
      </w:r>
    </w:p>
    <w:p>
      <w:pPr>
        <w:pStyle w:val="Normal"/>
        <w:spacing w:before="0" w:after="171"/>
        <w:jc w:val="right"/>
        <w:rPr/>
      </w:pPr>
      <w:r>
        <w:rPr/>
        <w:drawing>
          <wp:inline distT="0" distB="0" distL="0" distR="0">
            <wp:extent cx="1079500" cy="543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3" t="-66" r="-33" b="-66"/>
                    <a:stretch>
                      <a:fillRect/>
                    </a:stretch>
                  </pic:blipFill>
                  <pic:spPr bwMode="auto">
                    <a:xfrm>
                      <a:off x="0" y="0"/>
                      <a:ext cx="1079500" cy="543560"/>
                    </a:xfrm>
                    <a:prstGeom prst="rect">
                      <a:avLst/>
                    </a:prstGeom>
                  </pic:spPr>
                </pic:pic>
              </a:graphicData>
            </a:graphic>
          </wp:inline>
        </w:drawing>
      </w:r>
      <w:r>
        <w:rPr>
          <w:rFonts w:eastAsia="Verdana" w:cs="Verdana" w:ascii="Verdana" w:hAnsi="Verdana"/>
        </w:rPr>
        <w:t xml:space="preserve"> </w:t>
      </w:r>
    </w:p>
    <w:p>
      <w:pPr>
        <w:pStyle w:val="Normal"/>
        <w:spacing w:before="0" w:after="0"/>
        <w:ind w:left="965" w:right="761" w:hanging="0"/>
        <w:jc w:val="center"/>
        <w:rPr>
          <w:rFonts w:ascii="Verdana" w:hAnsi="Verdana" w:eastAsia="Verdana" w:cs="Verdana"/>
          <w:b/>
          <w:b/>
          <w:bCs/>
        </w:rPr>
      </w:pPr>
      <w:r>
        <w:rPr>
          <w:rFonts w:eastAsia="Verdana" w:cs="Verdana" w:ascii="Verdana" w:hAnsi="Verdana"/>
          <w:b/>
          <w:bCs/>
        </w:rPr>
        <w:t>DEPARTMENT FOR PLACE</w:t>
      </w:r>
    </w:p>
    <w:p>
      <w:pPr>
        <w:pStyle w:val="Normal"/>
        <w:spacing w:before="0" w:after="0"/>
        <w:ind w:left="965" w:right="761" w:hanging="0"/>
        <w:jc w:val="center"/>
        <w:rPr>
          <w:rFonts w:ascii="Verdana" w:hAnsi="Verdana" w:eastAsia="Verdana" w:cs="Verdana"/>
          <w:b/>
          <w:b/>
          <w:bCs/>
        </w:rPr>
      </w:pPr>
      <w:r>
        <w:rPr>
          <w:rFonts w:eastAsia="Verdana" w:cs="Verdana" w:ascii="Verdana" w:hAnsi="Verdana"/>
          <w:b/>
          <w:bCs/>
        </w:rPr>
      </w:r>
    </w:p>
    <w:p>
      <w:pPr>
        <w:pStyle w:val="Normal"/>
        <w:spacing w:before="0" w:after="0"/>
        <w:ind w:left="965" w:right="761" w:hanging="0"/>
        <w:jc w:val="center"/>
        <w:rPr>
          <w:rFonts w:ascii="Verdana" w:hAnsi="Verdana" w:eastAsia="Verdana" w:cs="Verdana"/>
          <w:b/>
          <w:b/>
          <w:bCs/>
        </w:rPr>
      </w:pPr>
      <w:r>
        <w:rPr>
          <w:rFonts w:eastAsia="Verdana" w:cs="Verdana" w:ascii="Verdana" w:hAnsi="Verdana"/>
          <w:b/>
          <w:bCs/>
        </w:rPr>
        <w:t>Head of Regeneration</w:t>
      </w:r>
    </w:p>
    <w:p>
      <w:pPr>
        <w:pStyle w:val="Normal"/>
        <w:spacing w:before="0" w:after="0"/>
        <w:ind w:left="965" w:right="761" w:hanging="0"/>
        <w:jc w:val="center"/>
        <w:rPr/>
      </w:pPr>
      <w:r>
        <w:rPr/>
      </w:r>
    </w:p>
    <w:tbl>
      <w:tblPr>
        <w:tblW w:w="10692" w:type="dxa"/>
        <w:jc w:val="left"/>
        <w:tblInd w:w="-113" w:type="dxa"/>
        <w:tblCellMar>
          <w:top w:w="1" w:type="dxa"/>
          <w:left w:w="108" w:type="dxa"/>
          <w:bottom w:w="0" w:type="dxa"/>
          <w:right w:w="38" w:type="dxa"/>
        </w:tblCellMar>
      </w:tblPr>
      <w:tblGrid>
        <w:gridCol w:w="6960"/>
        <w:gridCol w:w="1939"/>
        <w:gridCol w:w="1793"/>
      </w:tblGrid>
      <w:tr>
        <w:trPr>
          <w:trHeight w:val="518"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b/>
                <w:b/>
                <w:bCs/>
              </w:rPr>
            </w:pPr>
            <w:r>
              <w:rPr>
                <w:rFonts w:eastAsia="Verdana" w:cs="Verdana" w:ascii="Verdana" w:hAnsi="Verdana"/>
                <w:b/>
                <w:bCs/>
              </w:rPr>
              <w:t xml:space="preserve">SHORT LISTING CRITERIA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170" w:right="0" w:hanging="0"/>
              <w:rPr>
                <w:rFonts w:ascii="Verdana" w:hAnsi="Verdana" w:eastAsia="Verdana" w:cs="Verdana"/>
                <w:b/>
                <w:b/>
                <w:bCs/>
              </w:rPr>
            </w:pPr>
            <w:r>
              <w:rPr>
                <w:rFonts w:eastAsia="Verdana" w:cs="Verdana" w:ascii="Verdana" w:hAnsi="Verdana"/>
                <w:b/>
                <w:bCs/>
              </w:rPr>
              <w:t xml:space="preserve">ESSENTIAL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77" w:right="0" w:hanging="0"/>
              <w:rPr>
                <w:rFonts w:ascii="Verdana" w:hAnsi="Verdana" w:eastAsia="Verdana" w:cs="Verdana"/>
                <w:b/>
                <w:b/>
                <w:bCs/>
              </w:rPr>
            </w:pPr>
            <w:r>
              <w:rPr>
                <w:rFonts w:eastAsia="Verdana" w:cs="Verdana" w:ascii="Verdana" w:hAnsi="Verdana"/>
                <w:b/>
                <w:bCs/>
              </w:rPr>
              <w:t xml:space="preserve">DESIRABLE </w:t>
            </w:r>
          </w:p>
        </w:tc>
      </w:tr>
      <w:tr>
        <w:trPr>
          <w:trHeight w:val="1051"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1" w:hanging="0"/>
              <w:rPr>
                <w:rFonts w:ascii="Verdana" w:hAnsi="Verdana" w:eastAsia="Verdana" w:cs="Verdana"/>
              </w:rPr>
            </w:pPr>
            <w:r>
              <w:rPr>
                <w:rFonts w:eastAsia="Verdana" w:cs="Verdana" w:ascii="Verdana" w:hAnsi="Verdana"/>
              </w:rPr>
              <w:t>Degree educated or with a relevant professional qualification.</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pPr>
            <w:r>
              <w:rPr>
                <w:rFonts w:eastAsia="Wingdings" w:cs="Wingdings" w:ascii="Wingdings" w:hAnsi="Wingdings"/>
              </w:rPr>
              <w:t></w:t>
            </w: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518"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rPr>
            </w:pPr>
            <w:r>
              <w:rPr>
                <w:rFonts w:eastAsia="Verdana" w:cs="Verdana" w:ascii="Verdana" w:hAnsi="Verdana"/>
              </w:rPr>
              <w:t>Post Graduate qualification in Management or equivalent accreditation in a management discipline.</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7" w:right="0" w:hanging="0"/>
              <w:jc w:val="center"/>
              <w:rPr/>
            </w:pPr>
            <w:r>
              <w:rPr>
                <w:rFonts w:eastAsia="Verdana" w:cs="Verdana" w:ascii="Verdana" w:hAnsi="Verdana"/>
              </w:rPr>
              <w:t xml:space="preserve"> </w:t>
            </w:r>
            <w:r>
              <w:rPr>
                <w:rFonts w:eastAsia="Wingdings" w:cs="Wingdings" w:ascii="Wingdings" w:hAnsi="Wingdings"/>
              </w:rPr>
              <w:t></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0" w:right="72" w:hanging="0"/>
              <w:jc w:val="center"/>
              <w:rPr/>
            </w:pPr>
            <w:r>
              <w:rPr/>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Default"/>
              <w:spacing w:lineRule="auto" w:line="240" w:before="0" w:after="0"/>
              <w:rPr>
                <w:sz w:val="22"/>
                <w:szCs w:val="22"/>
              </w:rPr>
            </w:pPr>
            <w:r>
              <w:rPr>
                <w:sz w:val="22"/>
                <w:szCs w:val="22"/>
              </w:rPr>
              <w:t xml:space="preserve">Experience of leading teams through change, setting a housing vision, overseeing a programme of work and performance of high performing teams. </w:t>
            </w:r>
          </w:p>
        </w:tc>
        <w:tc>
          <w:tcPr>
            <w:tcW w:w="1939"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ind w:left="0" w:right="70" w:hanging="0"/>
              <w:jc w:val="center"/>
              <w:rPr>
                <w:rFonts w:ascii="Wingdings" w:hAnsi="Wingdings" w:eastAsia="Wingdings" w:cs="Wingdings"/>
              </w:rPr>
            </w:pPr>
            <w:r>
              <w:rPr>
                <w:rFonts w:eastAsia="Wingdings" w:cs="Wingdings" w:ascii="Wingdings" w:hAnsi="Wingdings"/>
              </w:rPr>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Wingdings" w:hAnsi="Wingdings" w:eastAsia="Wingdings" w:cs="Wingdings"/>
              </w:rPr>
            </w:pPr>
            <w:r>
              <w:rPr>
                <w:rFonts w:eastAsia="Wingdings" w:cs="Wingdings" w:ascii="Wingdings" w:hAnsi="Wingdings"/>
              </w:rPr>
              <w:t></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rPr>
            </w:pPr>
            <w:r>
              <w:rPr>
                <w:rFonts w:eastAsia="Verdana" w:cs="Verdana" w:ascii="Verdana" w:hAnsi="Verdana"/>
              </w:rPr>
              <w:t xml:space="preserve">Strong leadership skills and demonstrable ability to lead, motivate and manage multi-disciplinary teams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rFonts w:ascii="Wingdings" w:hAnsi="Wingdings" w:eastAsia="Wingdings" w:cs="Wingdings"/>
              </w:rPr>
            </w:pPr>
            <w:r>
              <w:rPr>
                <w:rFonts w:eastAsia="Wingdings" w:cs="Wingdings" w:ascii="Wingdings" w:hAnsi="Wingdings"/>
              </w:rPr>
              <w:t></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5" w:right="0" w:hanging="0"/>
              <w:jc w:val="center"/>
              <w:rPr>
                <w:rFonts w:ascii="Verdana" w:hAnsi="Verdana" w:eastAsia="Verdana" w:cs="Verdana"/>
              </w:rPr>
            </w:pPr>
            <w:r>
              <w:rPr>
                <w:rFonts w:eastAsia="Verdana" w:cs="Verdana" w:ascii="Verdana" w:hAnsi="Verdana"/>
              </w:rPr>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rPr>
            </w:pPr>
            <w:r>
              <w:rPr>
                <w:rFonts w:eastAsia="Verdana" w:cs="Verdana" w:ascii="Verdana" w:hAnsi="Verdana"/>
              </w:rPr>
              <w:t>Direct experience of managing regeneration delivery on brownfield land within strategic regeneration framework</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pPr>
            <w:r>
              <w:rPr>
                <w:rFonts w:eastAsia="Wingdings" w:cs="Wingdings" w:ascii="Wingdings" w:hAnsi="Wingdings"/>
              </w:rPr>
              <w:t></w:t>
            </w: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26" w:hanging="0"/>
              <w:rPr>
                <w:rFonts w:ascii="Verdana" w:hAnsi="Verdana" w:eastAsia="Verdana" w:cs="Verdana"/>
              </w:rPr>
            </w:pPr>
            <w:r>
              <w:rPr>
                <w:rFonts w:eastAsia="Verdana" w:cs="Verdana" w:ascii="Verdana" w:hAnsi="Verdana"/>
              </w:rPr>
              <w:t xml:space="preserve">Strong commercial know-how and evidence of understanding commercial property development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pPr>
            <w:r>
              <w:rPr>
                <w:rFonts w:eastAsia="Wingdings" w:cs="Wingdings" w:ascii="Wingdings" w:hAnsi="Wingdings"/>
              </w:rPr>
              <w:t></w:t>
            </w: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Default"/>
              <w:spacing w:lineRule="auto" w:line="240" w:before="0" w:after="0"/>
              <w:rPr>
                <w:sz w:val="22"/>
                <w:szCs w:val="22"/>
              </w:rPr>
            </w:pPr>
            <w:r>
              <w:rPr>
                <w:sz w:val="22"/>
                <w:szCs w:val="22"/>
              </w:rPr>
              <w:t xml:space="preserve">Extensive track record of securing external capital and revenue funding and identifying investment opportunities.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rFonts w:ascii="Wingdings" w:hAnsi="Wingdings" w:eastAsia="Wingdings" w:cs="Wingdings"/>
              </w:rPr>
            </w:pPr>
            <w:r>
              <w:rPr>
                <w:rFonts w:eastAsia="Wingdings" w:cs="Wingdings" w:ascii="Wingdings" w:hAnsi="Wingdings"/>
              </w:rPr>
              <w:t></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5" w:right="0" w:hanging="0"/>
              <w:jc w:val="center"/>
              <w:rPr>
                <w:rFonts w:ascii="Verdana" w:hAnsi="Verdana" w:eastAsia="Verdana" w:cs="Verdana"/>
              </w:rPr>
            </w:pPr>
            <w:r>
              <w:rPr>
                <w:rFonts w:eastAsia="Verdana" w:cs="Verdana" w:ascii="Verdana" w:hAnsi="Verdana"/>
              </w:rPr>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rPr>
            </w:pPr>
            <w:r>
              <w:rPr>
                <w:rFonts w:eastAsia="Verdana" w:cs="Verdana" w:ascii="Verdana" w:hAnsi="Verdana"/>
              </w:rPr>
              <w:t>High level of business case literacy – able to understand and articulate the 5 cases.</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pPr>
            <w:r>
              <w:rPr>
                <w:rFonts w:eastAsia="Wingdings" w:cs="Wingdings" w:ascii="Wingdings" w:hAnsi="Wingdings"/>
              </w:rPr>
              <w:t></w:t>
            </w: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rPr>
            </w:pPr>
            <w:r>
              <w:rPr>
                <w:rFonts w:eastAsia="Verdana" w:cs="Verdana" w:ascii="Verdana" w:hAnsi="Verdana"/>
              </w:rPr>
              <w:t xml:space="preserve">Relevant experience of managing multiple stakeholders involved in a regenerative, retail, mix use and housing development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7" w:right="0" w:hanging="0"/>
              <w:jc w:val="center"/>
              <w:rPr>
                <w:rFonts w:ascii="Verdana" w:hAnsi="Verdana" w:eastAsia="Verdana" w:cs="Verdana"/>
              </w:rPr>
            </w:pP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0" w:right="72" w:hanging="0"/>
              <w:jc w:val="center"/>
              <w:rPr/>
            </w:pPr>
            <w:r>
              <w:rPr>
                <w:rFonts w:eastAsia="Wingdings" w:cs="Wingdings" w:ascii="Wingdings" w:hAnsi="Wingdings"/>
              </w:rPr>
              <w:t></w:t>
            </w:r>
            <w:r>
              <w:rPr>
                <w:rFonts w:eastAsia="Verdana" w:cs="Verdana" w:ascii="Verdana" w:hAnsi="Verdana"/>
              </w:rPr>
              <w:t xml:space="preserve"> </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both"/>
              <w:rPr>
                <w:rFonts w:ascii="Verdana" w:hAnsi="Verdana" w:eastAsia="Verdana" w:cs="Verdana"/>
              </w:rPr>
            </w:pPr>
            <w:r>
              <w:rPr>
                <w:rFonts w:eastAsia="Verdana" w:cs="Verdana" w:ascii="Verdana" w:hAnsi="Verdana"/>
              </w:rPr>
              <w:t>Experience and understanding of how to structure property legal agreements and/or working within a Joint Venture /delivery vehicle arrangement, preferably including a retail/leisure offer.</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pPr>
            <w:r>
              <w:rPr>
                <w:rFonts w:eastAsia="Wingdings" w:cs="Wingdings" w:ascii="Wingdings" w:hAnsi="Wingdings"/>
              </w:rPr>
              <w:t></w:t>
            </w: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both"/>
              <w:rPr>
                <w:rFonts w:ascii="Verdana" w:hAnsi="Verdana" w:eastAsia="Verdana" w:cs="Verdana"/>
              </w:rPr>
            </w:pPr>
            <w:r>
              <w:rPr>
                <w:rFonts w:eastAsia="Verdana" w:cs="Verdana" w:ascii="Verdana" w:hAnsi="Verdana"/>
              </w:rPr>
              <w:t>Act as lead officer, representing the council’s interests on JV Boards, imparting influence and ensuring effective roles and responsibilities for effective joint working.</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rFonts w:ascii="Wingdings" w:hAnsi="Wingdings" w:eastAsia="Wingdings" w:cs="Wingdings"/>
              </w:rPr>
            </w:pPr>
            <w:r>
              <w:rPr>
                <w:rFonts w:eastAsia="Wingdings" w:cs="Wingdings" w:ascii="Wingdings" w:hAnsi="Wingdings"/>
              </w:rPr>
              <w:t></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5" w:right="0" w:hanging="0"/>
              <w:jc w:val="center"/>
              <w:rPr>
                <w:rFonts w:ascii="Verdana" w:hAnsi="Verdana" w:eastAsia="Verdana" w:cs="Verdana"/>
              </w:rPr>
            </w:pPr>
            <w:r>
              <w:rPr>
                <w:rFonts w:eastAsia="Verdana" w:cs="Verdana" w:ascii="Verdana" w:hAnsi="Verdana"/>
              </w:rPr>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Default"/>
              <w:spacing w:lineRule="auto" w:line="240" w:before="0" w:after="0"/>
              <w:jc w:val="both"/>
              <w:rPr>
                <w:sz w:val="22"/>
                <w:szCs w:val="22"/>
              </w:rPr>
            </w:pPr>
            <w:r>
              <w:rPr>
                <w:sz w:val="22"/>
                <w:szCs w:val="22"/>
              </w:rPr>
              <w:t xml:space="preserve">Relevant experience of leading complex multiple stakeholder arrangements e.g multiple land owner interests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rFonts w:ascii="Wingdings" w:hAnsi="Wingdings" w:eastAsia="Wingdings" w:cs="Wingdings"/>
              </w:rPr>
            </w:pPr>
            <w:r>
              <w:rPr>
                <w:rFonts w:eastAsia="Wingdings" w:cs="Wingdings" w:ascii="Wingdings" w:hAnsi="Wingdings"/>
              </w:rPr>
              <w:t></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5" w:right="0" w:hanging="0"/>
              <w:jc w:val="center"/>
              <w:rPr>
                <w:rFonts w:ascii="Verdana" w:hAnsi="Verdana" w:eastAsia="Verdana" w:cs="Verdana"/>
              </w:rPr>
            </w:pPr>
            <w:r>
              <w:rPr>
                <w:rFonts w:eastAsia="Verdana" w:cs="Verdana" w:ascii="Verdana" w:hAnsi="Verdana"/>
              </w:rPr>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40" w:hanging="0"/>
              <w:rPr>
                <w:rFonts w:ascii="Verdana" w:hAnsi="Verdana" w:eastAsia="Verdana" w:cs="Verdana"/>
              </w:rPr>
            </w:pPr>
            <w:r>
              <w:rPr>
                <w:rFonts w:eastAsia="Verdana" w:cs="Verdana" w:ascii="Verdana" w:hAnsi="Verdana"/>
              </w:rPr>
              <w:t>Good grasp of the dynamics of the local retail and residential property market conditions viability constraints, investor appetite and understanding in depth property appraisals and how value is created</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7" w:right="0" w:hanging="0"/>
              <w:jc w:val="center"/>
              <w:rPr>
                <w:rFonts w:ascii="Verdana" w:hAnsi="Verdana" w:eastAsia="Verdana" w:cs="Verdana"/>
              </w:rPr>
            </w:pP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0" w:right="72" w:hanging="0"/>
              <w:jc w:val="center"/>
              <w:rPr/>
            </w:pPr>
            <w:r>
              <w:rPr>
                <w:rFonts w:eastAsia="Wingdings" w:cs="Wingdings" w:ascii="Wingdings" w:hAnsi="Wingdings"/>
              </w:rPr>
              <w:t></w:t>
            </w:r>
            <w:r>
              <w:rPr>
                <w:rFonts w:eastAsia="Verdana" w:cs="Verdana" w:ascii="Verdana" w:hAnsi="Verdana"/>
              </w:rPr>
              <w:t xml:space="preserve"> </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rPr>
            </w:pPr>
            <w:r>
              <w:rPr>
                <w:rFonts w:eastAsia="Verdana" w:cs="Verdana" w:ascii="Verdana" w:hAnsi="Verdana"/>
              </w:rPr>
              <w:t xml:space="preserve">Experience of driving forward effective governances arrangements, reporting and monitoring on major scheme to supervisory Boards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0" w:right="70" w:hanging="0"/>
              <w:jc w:val="center"/>
              <w:rPr/>
            </w:pPr>
            <w:r>
              <w:rPr>
                <w:rFonts w:eastAsia="Wingdings" w:cs="Wingdings" w:ascii="Wingdings" w:hAnsi="Wingdings"/>
              </w:rPr>
              <w:t></w:t>
            </w: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785" w:hRule="atLeast"/>
        </w:trPr>
        <w:tc>
          <w:tcPr>
            <w:tcW w:w="696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Verdana" w:hAnsi="Verdana" w:eastAsia="Verdana" w:cs="Verdana"/>
              </w:rPr>
            </w:pPr>
            <w:r>
              <w:rPr>
                <w:rFonts w:eastAsia="Verdana" w:cs="Verdana" w:ascii="Verdana" w:hAnsi="Verdana"/>
              </w:rPr>
              <w:t xml:space="preserve">Significant experience in managing contract agreements, built environment specialists and construction contractors </w:t>
            </w:r>
          </w:p>
        </w:tc>
        <w:tc>
          <w:tcPr>
            <w:tcW w:w="1939"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7" w:right="0" w:hanging="0"/>
              <w:jc w:val="center"/>
              <w:rPr>
                <w:rFonts w:ascii="Verdana" w:hAnsi="Verdana" w:eastAsia="Verdana" w:cs="Verdana"/>
              </w:rPr>
            </w:pP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0" w:right="72" w:hanging="0"/>
              <w:jc w:val="center"/>
              <w:rPr/>
            </w:pPr>
            <w:r>
              <w:rPr>
                <w:rFonts w:eastAsia="Wingdings" w:cs="Wingdings" w:ascii="Wingdings" w:hAnsi="Wingdings"/>
              </w:rPr>
              <w:t></w:t>
            </w:r>
            <w:r>
              <w:rPr>
                <w:rFonts w:eastAsia="Verdana" w:cs="Verdana" w:ascii="Verdana" w:hAnsi="Verdana"/>
              </w:rPr>
              <w:t xml:space="preserve"> </w:t>
            </w:r>
          </w:p>
        </w:tc>
      </w:tr>
      <w:tr>
        <w:trPr>
          <w:trHeight w:val="1130" w:hRule="atLeast"/>
        </w:trPr>
        <w:tc>
          <w:tcPr>
            <w:tcW w:w="6960"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Verdana" w:hAnsi="Verdana" w:eastAsia="Verdana" w:cs="Verdana"/>
              </w:rPr>
            </w:pPr>
            <w:r>
              <w:rPr>
                <w:rFonts w:eastAsia="Verdana" w:cs="Verdana" w:ascii="Verdana" w:hAnsi="Verdana"/>
              </w:rPr>
              <w:t xml:space="preserve">Strong interpersonal, influencing and negotiating skills to initiate and develop positive and effective working relationships. </w:t>
            </w:r>
          </w:p>
        </w:tc>
        <w:tc>
          <w:tcPr>
            <w:tcW w:w="1939"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65" w:hanging="0"/>
              <w:jc w:val="center"/>
              <w:rPr/>
            </w:pPr>
            <w:r>
              <w:rPr>
                <w:rFonts w:eastAsia="Wingdings" w:cs="Wingdings" w:ascii="Wingdings" w:hAnsi="Wingdings"/>
              </w:rPr>
              <w:t></w:t>
            </w:r>
            <w:r>
              <w:rPr>
                <w:rFonts w:eastAsia="Verdana" w:cs="Verdana" w:ascii="Verdana" w:hAnsi="Verdana"/>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826" w:hRule="atLeast"/>
        </w:trPr>
        <w:tc>
          <w:tcPr>
            <w:tcW w:w="6960" w:type="dxa"/>
            <w:tcBorders>
              <w:top w:val="single" w:sz="4" w:space="0" w:color="000000"/>
              <w:left w:val="single" w:sz="4" w:space="0" w:color="000000"/>
              <w:bottom w:val="single" w:sz="4" w:space="0" w:color="000000"/>
            </w:tcBorders>
            <w:shd w:fill="auto" w:val="clear"/>
          </w:tcPr>
          <w:p>
            <w:pPr>
              <w:pStyle w:val="Default"/>
              <w:spacing w:lineRule="auto" w:line="240" w:before="0" w:after="0"/>
              <w:rPr>
                <w:sz w:val="22"/>
                <w:szCs w:val="22"/>
              </w:rPr>
            </w:pPr>
            <w:r>
              <w:rPr>
                <w:sz w:val="22"/>
                <w:szCs w:val="22"/>
              </w:rPr>
              <w:t xml:space="preserve">Ability to unblock issues, show resilience and resourcefulness in the face of highly complex challenges and oppositional views. </w:t>
            </w:r>
          </w:p>
          <w:p>
            <w:pPr>
              <w:pStyle w:val="Normal"/>
              <w:spacing w:lineRule="auto" w:line="240" w:before="0" w:after="0"/>
              <w:rPr/>
            </w:pPr>
            <w:r>
              <w:rPr/>
            </w:r>
          </w:p>
        </w:tc>
        <w:tc>
          <w:tcPr>
            <w:tcW w:w="1939"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65" w:hanging="0"/>
              <w:jc w:val="center"/>
              <w:rPr/>
            </w:pPr>
            <w:r>
              <w:rPr>
                <w:rFonts w:eastAsia="Wingdings" w:cs="Wingdings" w:ascii="Wingdings" w:hAnsi="Wingdings"/>
              </w:rPr>
              <w:t></w:t>
            </w:r>
            <w:r>
              <w:rPr>
                <w:rFonts w:eastAsia="Verdana" w:cs="Verdana" w:ascii="Verdana" w:hAnsi="Verdana"/>
                <w:b/>
                <w:bCs/>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r>
        <w:trPr>
          <w:trHeight w:val="826" w:hRule="atLeast"/>
        </w:trPr>
        <w:tc>
          <w:tcPr>
            <w:tcW w:w="6960"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17" w:hanging="0"/>
              <w:rPr>
                <w:rFonts w:ascii="Verdana" w:hAnsi="Verdana" w:eastAsia="Verdana" w:cs="Verdana"/>
              </w:rPr>
            </w:pPr>
            <w:r>
              <w:rPr>
                <w:rFonts w:eastAsia="Verdana" w:cs="Verdana" w:ascii="Verdana" w:hAnsi="Verdana"/>
              </w:rPr>
              <w:t xml:space="preserve">Knowledge of programme and project methodologies and the proven ability to manage projects and programmes </w:t>
            </w:r>
          </w:p>
        </w:tc>
        <w:tc>
          <w:tcPr>
            <w:tcW w:w="1939"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65" w:hanging="0"/>
              <w:jc w:val="center"/>
              <w:rPr/>
            </w:pPr>
            <w:r>
              <w:rPr>
                <w:rFonts w:eastAsia="Wingdings" w:cs="Wingdings" w:ascii="Wingdings" w:hAnsi="Wingdings"/>
              </w:rPr>
              <w:t></w:t>
            </w:r>
            <w:r>
              <w:rPr>
                <w:rFonts w:eastAsia="Verdana" w:cs="Verdana" w:ascii="Verdana" w:hAnsi="Verdana"/>
                <w:b/>
                <w:bCs/>
              </w:rPr>
              <w:t xml:space="preserve"> </w:t>
            </w:r>
          </w:p>
        </w:tc>
        <w:tc>
          <w:tcPr>
            <w:tcW w:w="179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5" w:right="0" w:hanging="0"/>
              <w:jc w:val="center"/>
              <w:rPr>
                <w:rFonts w:ascii="Verdana" w:hAnsi="Verdana" w:eastAsia="Verdana" w:cs="Verdana"/>
              </w:rPr>
            </w:pPr>
            <w:r>
              <w:rPr>
                <w:rFonts w:eastAsia="Verdana" w:cs="Verdana" w:ascii="Verdana" w:hAnsi="Verdana"/>
              </w:rPr>
              <w:t xml:space="preserve"> </w:t>
            </w:r>
          </w:p>
        </w:tc>
      </w:tr>
    </w:tbl>
    <w:p>
      <w:pPr>
        <w:pStyle w:val="Normal"/>
        <w:spacing w:before="0" w:after="0"/>
        <w:rPr>
          <w:rFonts w:ascii="Verdana" w:hAnsi="Verdana" w:eastAsia="Verdana" w:cs="Verdana"/>
        </w:rPr>
      </w:pPr>
      <w:r>
        <w:rPr>
          <w:rFonts w:eastAsia="Verdana" w:cs="Verdana" w:ascii="Verdana" w:hAnsi="Verdana"/>
        </w:rPr>
        <w:t xml:space="preserve"> </w:t>
      </w:r>
    </w:p>
    <w:p>
      <w:pPr>
        <w:pStyle w:val="Normal"/>
        <w:spacing w:before="0" w:after="216"/>
        <w:ind w:left="0" w:right="1164" w:hanging="0"/>
        <w:jc w:val="right"/>
        <w:rPr>
          <w:rFonts w:ascii="Verdana" w:hAnsi="Verdana" w:eastAsia="Verdana" w:cs="Verdana"/>
          <w:b/>
          <w:b/>
          <w:bCs/>
        </w:rPr>
      </w:pPr>
      <w:r>
        <w:rPr>
          <w:rFonts w:eastAsia="Verdana" w:cs="Verdana" w:ascii="Verdana" w:hAnsi="Verdana"/>
          <w:b/>
          <w:bCs/>
        </w:rPr>
        <w:t xml:space="preserve">CRITERIA FOR INTERVIEW AND OTHER ASSESSMENT METHODS </w:t>
      </w:r>
    </w:p>
    <w:p>
      <w:pPr>
        <w:pStyle w:val="Normal"/>
        <w:spacing w:before="0" w:after="0"/>
        <w:ind w:left="2150" w:right="0" w:hanging="10"/>
        <w:rPr>
          <w:rFonts w:ascii="Verdana" w:hAnsi="Verdana" w:cs="Verdana"/>
          <w:b/>
          <w:b/>
          <w:bCs/>
        </w:rPr>
      </w:pPr>
      <w:r>
        <w:rPr>
          <w:rFonts w:cs="Verdana" w:ascii="Verdana" w:hAnsi="Verdana"/>
          <w:b/>
          <w:bCs/>
        </w:rPr>
        <w:t xml:space="preserve">The short-listing criteria listed, plus the following: </w:t>
      </w:r>
    </w:p>
    <w:tbl>
      <w:tblPr>
        <w:tblW w:w="10691" w:type="dxa"/>
        <w:jc w:val="left"/>
        <w:tblInd w:w="-113" w:type="dxa"/>
        <w:tblCellMar>
          <w:top w:w="0" w:type="dxa"/>
          <w:left w:w="91" w:type="dxa"/>
          <w:bottom w:w="0" w:type="dxa"/>
          <w:right w:w="112" w:type="dxa"/>
        </w:tblCellMar>
      </w:tblPr>
      <w:tblGrid>
        <w:gridCol w:w="2332"/>
        <w:gridCol w:w="8359"/>
      </w:tblGrid>
      <w:tr>
        <w:trPr>
          <w:trHeight w:val="905" w:hRule="atLeast"/>
        </w:trPr>
        <w:tc>
          <w:tcPr>
            <w:tcW w:w="233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96"/>
              <w:ind w:left="22" w:right="0" w:hanging="0"/>
              <w:jc w:val="center"/>
              <w:rPr>
                <w:rFonts w:ascii="Verdana" w:hAnsi="Verdana" w:eastAsia="Verdana" w:cs="Verdana"/>
                <w:b/>
                <w:b/>
                <w:bCs/>
              </w:rPr>
            </w:pPr>
            <w:r>
              <w:rPr>
                <w:rFonts w:eastAsia="Verdana" w:cs="Verdana" w:ascii="Verdana" w:hAnsi="Verdana"/>
                <w:b/>
                <w:bCs/>
              </w:rPr>
              <w:t xml:space="preserve">ASSESSMENT </w:t>
            </w:r>
          </w:p>
          <w:p>
            <w:pPr>
              <w:pStyle w:val="Normal"/>
              <w:spacing w:lineRule="auto" w:line="240" w:before="0" w:after="0"/>
              <w:ind w:left="22" w:right="0" w:hanging="0"/>
              <w:jc w:val="center"/>
              <w:rPr>
                <w:rFonts w:ascii="Verdana" w:hAnsi="Verdana" w:eastAsia="Verdana" w:cs="Verdana"/>
                <w:b/>
                <w:b/>
                <w:bCs/>
              </w:rPr>
            </w:pPr>
            <w:r>
              <w:rPr>
                <w:rFonts w:eastAsia="Verdana" w:cs="Verdana" w:ascii="Verdana" w:hAnsi="Verdana"/>
                <w:b/>
                <w:bCs/>
              </w:rPr>
              <w:t xml:space="preserve">METHOD </w:t>
            </w:r>
          </w:p>
        </w:tc>
        <w:tc>
          <w:tcPr>
            <w:tcW w:w="83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22" w:right="0" w:hanging="0"/>
              <w:jc w:val="center"/>
              <w:rPr>
                <w:rFonts w:ascii="Verdana" w:hAnsi="Verdana" w:eastAsia="Verdana" w:cs="Verdana"/>
                <w:b/>
                <w:b/>
                <w:bCs/>
              </w:rPr>
            </w:pPr>
            <w:r>
              <w:rPr>
                <w:rFonts w:eastAsia="Verdana" w:cs="Verdana" w:ascii="Verdana" w:hAnsi="Verdana"/>
                <w:b/>
                <w:bCs/>
              </w:rPr>
              <w:t xml:space="preserve">CRITERIA </w:t>
            </w:r>
          </w:p>
        </w:tc>
      </w:tr>
      <w:tr>
        <w:trPr>
          <w:trHeight w:val="785" w:hRule="atLeast"/>
        </w:trPr>
        <w:tc>
          <w:tcPr>
            <w:tcW w:w="233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17" w:right="0" w:hanging="0"/>
              <w:rPr>
                <w:rFonts w:ascii="Verdana" w:hAnsi="Verdana" w:eastAsia="Verdana" w:cs="Verdana"/>
              </w:rPr>
            </w:pPr>
            <w:r>
              <w:rPr>
                <w:rFonts w:eastAsia="Verdana" w:cs="Verdana" w:ascii="Verdana" w:hAnsi="Verdana"/>
              </w:rPr>
              <w:t xml:space="preserve">Assessment Centre </w:t>
            </w:r>
          </w:p>
        </w:tc>
        <w:tc>
          <w:tcPr>
            <w:tcW w:w="83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17" w:right="0" w:hanging="0"/>
              <w:rPr>
                <w:rFonts w:ascii="Verdana" w:hAnsi="Verdana" w:eastAsia="Verdana" w:cs="Verdana"/>
              </w:rPr>
            </w:pPr>
            <w:r>
              <w:rPr>
                <w:rFonts w:eastAsia="Verdana" w:cs="Verdana" w:ascii="Verdana" w:hAnsi="Verdana"/>
              </w:rPr>
              <w:t>TBC</w:t>
            </w:r>
          </w:p>
        </w:tc>
      </w:tr>
      <w:tr>
        <w:trPr>
          <w:trHeight w:val="785" w:hRule="atLeast"/>
        </w:trPr>
        <w:tc>
          <w:tcPr>
            <w:tcW w:w="233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17" w:right="0" w:hanging="0"/>
              <w:rPr>
                <w:rFonts w:ascii="Verdana" w:hAnsi="Verdana" w:eastAsia="Verdana" w:cs="Verdana"/>
              </w:rPr>
            </w:pPr>
            <w:r>
              <w:rPr>
                <w:rFonts w:eastAsia="Verdana" w:cs="Verdana" w:ascii="Verdana" w:hAnsi="Verdana"/>
              </w:rPr>
              <w:t xml:space="preserve">Interview </w:t>
            </w:r>
          </w:p>
        </w:tc>
        <w:tc>
          <w:tcPr>
            <w:tcW w:w="83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17" w:right="0" w:hanging="0"/>
              <w:rPr>
                <w:rFonts w:ascii="Verdana" w:hAnsi="Verdana" w:eastAsia="Verdana" w:cs="Verdana"/>
              </w:rPr>
            </w:pPr>
            <w:r>
              <w:rPr>
                <w:rFonts w:eastAsia="Verdana" w:cs="Verdana" w:ascii="Verdana" w:hAnsi="Verdana"/>
              </w:rPr>
              <w:t>Shows considerable commercial and financial aptitude and ability to find investment and/or partnership opportunities for the most complex projects.</w:t>
            </w:r>
          </w:p>
        </w:tc>
      </w:tr>
      <w:tr>
        <w:trPr>
          <w:trHeight w:val="905" w:hRule="atLeast"/>
        </w:trPr>
        <w:tc>
          <w:tcPr>
            <w:tcW w:w="233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96"/>
              <w:ind w:left="17" w:right="0" w:hanging="0"/>
              <w:rPr>
                <w:rFonts w:ascii="Verdana" w:hAnsi="Verdana" w:eastAsia="Verdana" w:cs="Verdana"/>
                <w:b/>
                <w:b/>
                <w:bCs/>
              </w:rPr>
            </w:pPr>
            <w:r>
              <w:rPr>
                <w:rFonts w:eastAsia="Verdana" w:cs="Verdana" w:ascii="Verdana" w:hAnsi="Verdana"/>
                <w:b/>
                <w:bCs/>
              </w:rPr>
              <w:t xml:space="preserve"> </w:t>
            </w:r>
          </w:p>
          <w:p>
            <w:pPr>
              <w:pStyle w:val="Normal"/>
              <w:spacing w:lineRule="auto" w:line="240" w:before="0" w:after="0"/>
              <w:ind w:left="17" w:right="0" w:hanging="0"/>
              <w:rPr>
                <w:rFonts w:ascii="Verdana" w:hAnsi="Verdana" w:eastAsia="Verdana" w:cs="Verdana"/>
                <w:b/>
                <w:b/>
                <w:bCs/>
              </w:rPr>
            </w:pPr>
            <w:r>
              <w:rPr>
                <w:rFonts w:eastAsia="Verdana" w:cs="Verdana" w:ascii="Verdana" w:hAnsi="Verdana"/>
                <w:b/>
                <w:bCs/>
              </w:rPr>
              <w:t xml:space="preserve"> </w:t>
            </w:r>
          </w:p>
        </w:tc>
        <w:tc>
          <w:tcPr>
            <w:tcW w:w="83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rFonts w:ascii="Verdana" w:hAnsi="Verdana" w:cs="Verdana"/>
              </w:rPr>
            </w:pPr>
            <w:r>
              <w:rPr>
                <w:rFonts w:cs="Verdana" w:ascii="Verdana" w:hAnsi="Verdana"/>
              </w:rPr>
              <w:t xml:space="preserve">Can describe examples of projects they have worked on, the challenges they have overcome, the end outcome and specify their personal role. </w:t>
            </w:r>
          </w:p>
        </w:tc>
      </w:tr>
      <w:tr>
        <w:trPr>
          <w:trHeight w:val="785" w:hRule="atLeast"/>
        </w:trPr>
        <w:tc>
          <w:tcPr>
            <w:tcW w:w="233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17" w:right="0" w:hanging="0"/>
              <w:rPr>
                <w:rFonts w:ascii="Verdana" w:hAnsi="Verdana" w:eastAsia="Verdana" w:cs="Verdana"/>
                <w:b/>
                <w:b/>
              </w:rPr>
            </w:pPr>
            <w:r>
              <w:rPr>
                <w:rFonts w:eastAsia="Verdana" w:cs="Verdana" w:ascii="Verdana" w:hAnsi="Verdana"/>
                <w:b/>
              </w:rPr>
              <w:t xml:space="preserve"> </w:t>
            </w:r>
          </w:p>
        </w:tc>
        <w:tc>
          <w:tcPr>
            <w:tcW w:w="83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17" w:right="0" w:hanging="0"/>
              <w:rPr>
                <w:rFonts w:ascii="Verdana" w:hAnsi="Verdana" w:eastAsia="Verdana" w:cs="Verdana"/>
              </w:rPr>
            </w:pPr>
            <w:r>
              <w:rPr>
                <w:rFonts w:eastAsia="Verdana" w:cs="Verdana" w:ascii="Verdana" w:hAnsi="Verdana"/>
              </w:rPr>
              <w:t>Able to demonstrate knowledge of devising and funding mixed use development in town centre locations – giving examples of viability has been unlocked and operating within complex partnership structures.</w:t>
            </w:r>
          </w:p>
        </w:tc>
      </w:tr>
      <w:tr>
        <w:trPr>
          <w:trHeight w:val="785" w:hRule="atLeast"/>
        </w:trPr>
        <w:tc>
          <w:tcPr>
            <w:tcW w:w="233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17" w:right="0" w:hanging="0"/>
              <w:rPr>
                <w:rFonts w:ascii="Verdana" w:hAnsi="Verdana" w:eastAsia="Verdana" w:cs="Verdana"/>
                <w:b/>
                <w:b/>
              </w:rPr>
            </w:pPr>
            <w:r>
              <w:rPr>
                <w:rFonts w:eastAsia="Verdana" w:cs="Verdana" w:ascii="Verdana" w:hAnsi="Verdana"/>
                <w:b/>
              </w:rPr>
              <w:t xml:space="preserve"> </w:t>
            </w:r>
          </w:p>
        </w:tc>
        <w:tc>
          <w:tcPr>
            <w:tcW w:w="83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17" w:right="0" w:hanging="0"/>
              <w:rPr/>
            </w:pPr>
            <w:r>
              <w:rPr/>
            </w:r>
          </w:p>
        </w:tc>
      </w:tr>
      <w:tr>
        <w:trPr>
          <w:trHeight w:val="785" w:hRule="atLeast"/>
        </w:trPr>
        <w:tc>
          <w:tcPr>
            <w:tcW w:w="233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ind w:left="17" w:right="0" w:hanging="0"/>
              <w:rPr>
                <w:rFonts w:ascii="Verdana" w:hAnsi="Verdana" w:eastAsia="Verdana" w:cs="Verdana"/>
                <w:b/>
                <w:b/>
              </w:rPr>
            </w:pPr>
            <w:r>
              <w:rPr>
                <w:rFonts w:eastAsia="Verdana" w:cs="Verdana" w:ascii="Verdana" w:hAnsi="Verdana"/>
                <w:b/>
              </w:rPr>
              <w:t xml:space="preserve"> </w:t>
            </w:r>
          </w:p>
        </w:tc>
        <w:tc>
          <w:tcPr>
            <w:tcW w:w="83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17" w:right="0" w:hanging="0"/>
              <w:rPr/>
            </w:pPr>
            <w:r>
              <w:rPr/>
            </w:r>
          </w:p>
        </w:tc>
      </w:tr>
    </w:tbl>
    <w:p>
      <w:pPr>
        <w:pStyle w:val="Normal"/>
        <w:spacing w:before="0" w:after="0"/>
        <w:rPr>
          <w:rFonts w:ascii="Verdana" w:hAnsi="Verdana" w:eastAsia="Verdana" w:cs="Verdana"/>
        </w:rPr>
      </w:pPr>
      <w:r>
        <w:rPr>
          <w:rFonts w:eastAsia="Verdana" w:cs="Verdana" w:ascii="Verdana" w:hAnsi="Verdana"/>
        </w:rPr>
        <w:t xml:space="preserve"> </w:t>
      </w:r>
    </w:p>
    <w:sectPr>
      <w:headerReference w:type="default" r:id="rId4"/>
      <w:footerReference w:type="default" r:id="rId5"/>
      <w:type w:val="nextPage"/>
      <w:pgSz w:w="11906" w:h="16838"/>
      <w:pgMar w:left="720" w:right="842" w:header="720" w:top="777" w:footer="720" w:bottom="863"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1"/>
    <w:family w:val="swiss"/>
    <w:pitch w:val="variable"/>
  </w:font>
  <w:font w:name="Segoe UI Symbol">
    <w:charset w:val="01"/>
    <w:family w:val="swiss"/>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Verdana">
    <w:charset w:val="00"/>
    <w:family w:val="roman"/>
    <w:pitch w:val="variable"/>
  </w:font>
  <w:font w:name="Wingding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56" w:before="0" w:after="16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56" w:before="0" w:after="16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18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19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62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34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406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478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5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22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2">
    <w:lvl w:ilvl="0">
      <w:start w:val="1"/>
      <w:numFmt w:val="bullet"/>
      <w:lvlText w:val="•"/>
      <w:lvlJc w:val="left"/>
      <w:pPr>
        <w:ind w:left="36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18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19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62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34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406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478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5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22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3">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4">
    <w:lvl w:ilvl="0">
      <w:start w:val="1"/>
      <w:numFmt w:val="bullet"/>
      <w:lvlText w:val="•"/>
      <w:lvlJc w:val="left"/>
      <w:pPr>
        <w:ind w:left="36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18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19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62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34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406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478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5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22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Calibri"/>
      <w:color w:val="000000"/>
      <w:kern w:val="0"/>
      <w:sz w:val="22"/>
      <w:szCs w:val="22"/>
      <w:lang w:val="en-US" w:eastAsia="en-US" w:bidi="ar-SA"/>
    </w:rPr>
  </w:style>
  <w:style w:type="character" w:styleId="WW8Num1z0">
    <w:name w:val="WW8Num1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1z1">
    <w:name w:val="WW8Num1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2z0">
    <w:name w:val="WW8Num2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2z1">
    <w:name w:val="WW8Num2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4z1">
    <w:name w:val="WW8Num4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suppressAutoHyphens w:val="true"/>
      <w:bidi w:val="0"/>
      <w:spacing w:lineRule="auto" w:line="240" w:before="0" w:after="0"/>
      <w:jc w:val="left"/>
    </w:pPr>
    <w:rPr>
      <w:rFonts w:ascii="Verdana" w:hAnsi="Verdana" w:eastAsia="" w:cs="Verdana"/>
      <w:color w:val="000000"/>
      <w:kern w:val="0"/>
      <w:sz w:val="24"/>
      <w:szCs w:val="24"/>
      <w:lang w:val="en-GB" w:eastAsia="en-US" w:bidi="ar-SA"/>
    </w:rPr>
  </w:style>
  <w:style w:type="paragraph" w:styleId="ListParagraph">
    <w:name w:val="List Paragraph"/>
    <w:basedOn w:val="Normal"/>
    <w:qFormat/>
    <w:pPr>
      <w:spacing w:before="0" w:after="160"/>
      <w:ind w:left="720" w:right="0" w:hanging="0"/>
      <w:contextualSpacing/>
    </w:pPr>
    <w:rPr/>
  </w:style>
  <w:style w:type="paragraph" w:styleId="NoSpacing">
    <w:name w:val="No Spacing"/>
    <w:qFormat/>
    <w:pPr>
      <w:widowControl/>
      <w:suppressAutoHyphens w:val="true"/>
      <w:bidi w:val="0"/>
      <w:spacing w:lineRule="auto" w:line="240" w:before="0" w:after="0"/>
      <w:jc w:val="left"/>
    </w:pPr>
    <w:rPr>
      <w:rFonts w:ascii="Calibri" w:hAnsi="Calibri" w:eastAsia="Calibri" w:cs="Calibri"/>
      <w:color w:val="000000"/>
      <w:kern w:val="0"/>
      <w:sz w:val="22"/>
      <w:szCs w:val="22"/>
      <w:lang w:val="en-US" w:eastAsia="en-US" w:bidi="ar-SA"/>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