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2.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xtBody"/>
        <w:ind w:left="8157" w:right="0" w:hanging="0"/>
        <w:rPr>
          <w:b/>
          <w:b/>
        </w:rPr>
      </w:pPr>
      <w:r>
        <w:rPr/>
        <w:drawing>
          <wp:inline distT="0" distB="0" distL="0" distR="0">
            <wp:extent cx="1456690" cy="607695"/>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2" t="-28" r="-12" b="-28"/>
                    <a:stretch>
                      <a:fillRect/>
                    </a:stretch>
                  </pic:blipFill>
                  <pic:spPr bwMode="auto">
                    <a:xfrm>
                      <a:off x="0" y="0"/>
                      <a:ext cx="1456690" cy="607695"/>
                    </a:xfrm>
                    <a:prstGeom prst="rect">
                      <a:avLst/>
                    </a:prstGeom>
                  </pic:spPr>
                </pic:pic>
              </a:graphicData>
            </a:graphic>
          </wp:inline>
        </w:drawing>
      </w:r>
    </w:p>
    <w:p>
      <w:pPr>
        <w:pStyle w:val="Normal"/>
        <w:spacing w:before="241" w:after="0"/>
        <w:ind w:left="3" w:right="0" w:hanging="0"/>
        <w:jc w:val="center"/>
        <w:rPr/>
      </w:pPr>
      <w:r>
        <w:rPr>
          <w:b/>
        </w:rPr>
        <w:t>JOB</w:t>
      </w:r>
      <w:r>
        <w:rPr>
          <w:b/>
          <w:spacing w:val="-2"/>
        </w:rPr>
        <w:t xml:space="preserve"> DESCRIPTION</w:t>
      </w:r>
    </w:p>
    <w:p>
      <w:pPr>
        <w:pStyle w:val="TextBody"/>
        <w:ind w:left="0" w:right="0" w:hanging="0"/>
        <w:rPr>
          <w:b/>
          <w:b/>
          <w:sz w:val="20"/>
        </w:rPr>
      </w:pPr>
      <w:r>
        <w:rPr>
          <w:b/>
          <w:sz w:val="20"/>
        </w:rPr>
      </w:r>
    </w:p>
    <w:p>
      <w:pPr>
        <w:pStyle w:val="TextBody"/>
        <w:ind w:left="0" w:right="0" w:hanging="0"/>
        <w:rPr>
          <w:b/>
          <w:b/>
          <w:sz w:val="20"/>
        </w:rPr>
      </w:pPr>
      <w:r>
        <w:rPr>
          <w:b/>
          <w:sz w:val="20"/>
        </w:rPr>
      </w:r>
    </w:p>
    <w:p>
      <w:pPr>
        <w:pStyle w:val="TextBody"/>
        <w:spacing w:before="19" w:after="0"/>
        <w:ind w:left="0" w:right="0" w:hanging="0"/>
        <w:rPr>
          <w:b/>
          <w:b/>
          <w:sz w:val="20"/>
        </w:rPr>
      </w:pPr>
      <w:r>
        <w:rPr>
          <w:b/>
          <w:sz w:val="20"/>
        </w:rPr>
      </w:r>
    </w:p>
    <w:p>
      <w:pPr>
        <w:sectPr>
          <w:type w:val="nextPage"/>
          <w:pgSz w:w="11906" w:h="16850"/>
          <w:pgMar w:left="500" w:right="500" w:header="0" w:top="720" w:footer="0" w:bottom="280" w:gutter="0"/>
          <w:pgNumType w:fmt="decimal"/>
          <w:formProt w:val="false"/>
          <w:textDirection w:val="lrTb"/>
          <w:docGrid w:type="default" w:linePitch="360" w:charSpace="0"/>
        </w:sectPr>
      </w:pPr>
    </w:p>
    <w:tbl>
      <w:tblPr>
        <w:tblW w:w="10698" w:type="dxa"/>
        <w:jc w:val="left"/>
        <w:tblInd w:w="112" w:type="dxa"/>
        <w:tblCellMar>
          <w:top w:w="0" w:type="dxa"/>
          <w:left w:w="7" w:type="dxa"/>
          <w:bottom w:w="0" w:type="dxa"/>
          <w:right w:w="7" w:type="dxa"/>
        </w:tblCellMar>
      </w:tblPr>
      <w:tblGrid>
        <w:gridCol w:w="5269"/>
        <w:gridCol w:w="5429"/>
      </w:tblGrid>
      <w:tr>
        <w:trPr>
          <w:trHeight w:val="718" w:hRule="atLeast"/>
        </w:trPr>
        <w:tc>
          <w:tcPr>
            <w:tcW w:w="10698" w:type="dxa"/>
            <w:gridSpan w:val="2"/>
            <w:tcBorders>
              <w:top w:val="single" w:sz="6" w:space="0" w:color="000000"/>
              <w:left w:val="single" w:sz="6" w:space="0" w:color="000000"/>
              <w:bottom w:val="double" w:sz="6" w:space="0" w:color="000000"/>
              <w:right w:val="single" w:sz="6" w:space="0" w:color="000000"/>
            </w:tcBorders>
            <w:shd w:fill="auto" w:val="clear"/>
          </w:tcPr>
          <w:p>
            <w:pPr>
              <w:pStyle w:val="TableParagraph"/>
              <w:spacing w:before="119" w:after="0"/>
              <w:rPr/>
            </w:pPr>
            <w:r>
              <w:rPr>
                <w:b/>
              </w:rPr>
              <w:t>Post</w:t>
            </w:r>
            <w:r>
              <w:rPr>
                <w:b/>
                <w:spacing w:val="-4"/>
              </w:rPr>
              <w:t xml:space="preserve"> </w:t>
            </w:r>
            <w:r>
              <w:rPr>
                <w:b/>
              </w:rPr>
              <w:t>Title</w:t>
            </w:r>
            <w:r>
              <w:rPr/>
              <w:t>:</w:t>
            </w:r>
            <w:r>
              <w:rPr>
                <w:spacing w:val="-4"/>
              </w:rPr>
              <w:t xml:space="preserve"> Senior Procurement Manager</w:t>
            </w:r>
          </w:p>
        </w:tc>
      </w:tr>
      <w:tr>
        <w:trPr>
          <w:trHeight w:val="667" w:hRule="atLeast"/>
        </w:trPr>
        <w:tc>
          <w:tcPr>
            <w:tcW w:w="5269" w:type="dxa"/>
            <w:tcBorders>
              <w:top w:val="double" w:sz="6" w:space="0" w:color="000000"/>
              <w:left w:val="single" w:sz="6" w:space="0" w:color="000000"/>
              <w:bottom w:val="double" w:sz="6" w:space="0" w:color="000000"/>
            </w:tcBorders>
            <w:shd w:fill="auto" w:val="clear"/>
          </w:tcPr>
          <w:p>
            <w:pPr>
              <w:pStyle w:val="TableParagraph"/>
              <w:spacing w:before="121" w:after="0"/>
              <w:rPr/>
            </w:pPr>
            <w:r>
              <w:rPr>
                <w:b/>
              </w:rPr>
              <w:t>Department</w:t>
            </w:r>
            <w:r>
              <w:rPr/>
              <w:t>:</w:t>
            </w:r>
            <w:r>
              <w:rPr>
                <w:spacing w:val="-9"/>
              </w:rPr>
              <w:t xml:space="preserve"> </w:t>
            </w:r>
            <w:r>
              <w:rPr>
                <w:spacing w:val="-2"/>
              </w:rPr>
              <w:t>Procurement</w:t>
            </w:r>
          </w:p>
        </w:tc>
        <w:tc>
          <w:tcPr>
            <w:tcW w:w="5429" w:type="dxa"/>
            <w:tcBorders>
              <w:top w:val="double" w:sz="6" w:space="0" w:color="000000"/>
              <w:left w:val="single" w:sz="6" w:space="0" w:color="000000"/>
              <w:bottom w:val="double" w:sz="6" w:space="0" w:color="000000"/>
              <w:right w:val="single" w:sz="6" w:space="0" w:color="000000"/>
            </w:tcBorders>
            <w:shd w:fill="auto" w:val="clear"/>
          </w:tcPr>
          <w:p>
            <w:pPr>
              <w:pStyle w:val="TableParagraph"/>
              <w:spacing w:before="121" w:after="0"/>
              <w:rPr/>
            </w:pPr>
            <w:r>
              <w:rPr>
                <w:b/>
              </w:rPr>
              <w:t>Post</w:t>
            </w:r>
            <w:r>
              <w:rPr>
                <w:b/>
                <w:spacing w:val="-5"/>
              </w:rPr>
              <w:t xml:space="preserve"> No</w:t>
            </w:r>
            <w:r>
              <w:rPr>
                <w:spacing w:val="-5"/>
              </w:rPr>
              <w:t>:</w:t>
            </w:r>
          </w:p>
        </w:tc>
      </w:tr>
      <w:tr>
        <w:trPr>
          <w:trHeight w:val="975" w:hRule="atLeast"/>
        </w:trPr>
        <w:tc>
          <w:tcPr>
            <w:tcW w:w="5269" w:type="dxa"/>
            <w:tcBorders>
              <w:top w:val="double" w:sz="6" w:space="0" w:color="000000"/>
              <w:left w:val="single" w:sz="6" w:space="0" w:color="000000"/>
              <w:bottom w:val="double" w:sz="6" w:space="0" w:color="000000"/>
            </w:tcBorders>
            <w:shd w:fill="auto" w:val="clear"/>
          </w:tcPr>
          <w:p>
            <w:pPr>
              <w:pStyle w:val="TableParagraph"/>
              <w:spacing w:lineRule="auto" w:line="276" w:before="121" w:after="0"/>
              <w:rPr/>
            </w:pPr>
            <w:r>
              <w:rPr>
                <w:b/>
              </w:rPr>
              <w:t>Division/Section</w:t>
            </w:r>
            <w:r>
              <w:rPr/>
              <w:t>:</w:t>
            </w:r>
            <w:r>
              <w:rPr>
                <w:spacing w:val="-16"/>
              </w:rPr>
              <w:t xml:space="preserve"> </w:t>
            </w:r>
            <w:r>
              <w:rPr/>
              <w:t>Finance</w:t>
            </w:r>
          </w:p>
        </w:tc>
        <w:tc>
          <w:tcPr>
            <w:tcW w:w="5429" w:type="dxa"/>
            <w:tcBorders>
              <w:top w:val="double" w:sz="6" w:space="0" w:color="000000"/>
              <w:left w:val="single" w:sz="6" w:space="0" w:color="000000"/>
              <w:bottom w:val="double" w:sz="6" w:space="0" w:color="000000"/>
              <w:right w:val="single" w:sz="6" w:space="0" w:color="000000"/>
            </w:tcBorders>
            <w:shd w:fill="auto" w:val="clear"/>
          </w:tcPr>
          <w:p>
            <w:pPr>
              <w:pStyle w:val="TableParagraph"/>
              <w:spacing w:before="121" w:after="0"/>
              <w:rPr/>
            </w:pPr>
            <w:r>
              <w:rPr>
                <w:b/>
              </w:rPr>
              <w:t>Post</w:t>
            </w:r>
            <w:r>
              <w:rPr>
                <w:b/>
                <w:spacing w:val="-5"/>
              </w:rPr>
              <w:t xml:space="preserve"> </w:t>
            </w:r>
            <w:r>
              <w:rPr>
                <w:b/>
              </w:rPr>
              <w:t>Grade</w:t>
            </w:r>
            <w:r>
              <w:rPr/>
              <w:t>:</w:t>
            </w:r>
            <w:r>
              <w:rPr>
                <w:spacing w:val="-4"/>
              </w:rPr>
              <w:t xml:space="preserve"> </w:t>
            </w:r>
          </w:p>
          <w:p>
            <w:pPr>
              <w:pStyle w:val="TableParagraph"/>
              <w:spacing w:before="121" w:after="0"/>
              <w:rPr>
                <w:bCs/>
              </w:rPr>
            </w:pPr>
            <w:r>
              <w:rPr>
                <w:bCs/>
              </w:rPr>
              <w:t>SM1</w:t>
            </w:r>
          </w:p>
        </w:tc>
      </w:tr>
      <w:tr>
        <w:trPr>
          <w:trHeight w:val="720" w:hRule="atLeast"/>
        </w:trPr>
        <w:tc>
          <w:tcPr>
            <w:tcW w:w="5269" w:type="dxa"/>
            <w:tcBorders>
              <w:top w:val="double" w:sz="6" w:space="0" w:color="000000"/>
              <w:left w:val="single" w:sz="6" w:space="0" w:color="000000"/>
              <w:bottom w:val="double" w:sz="6" w:space="0" w:color="000000"/>
            </w:tcBorders>
            <w:shd w:fill="auto" w:val="clear"/>
          </w:tcPr>
          <w:p>
            <w:pPr>
              <w:pStyle w:val="TableParagraph"/>
              <w:spacing w:before="121" w:after="0"/>
              <w:rPr/>
            </w:pPr>
            <w:r>
              <w:rPr>
                <w:b/>
              </w:rPr>
              <w:t>Location</w:t>
            </w:r>
            <w:r>
              <w:rPr/>
              <w:t>:</w:t>
            </w:r>
            <w:r>
              <w:rPr>
                <w:spacing w:val="-10"/>
              </w:rPr>
              <w:t xml:space="preserve"> </w:t>
            </w:r>
            <w:r>
              <w:rPr>
                <w:rFonts w:cs="Arial"/>
              </w:rPr>
              <w:t>Hybrid (Based out of the Town Hall)</w:t>
            </w:r>
          </w:p>
        </w:tc>
        <w:tc>
          <w:tcPr>
            <w:tcW w:w="5429" w:type="dxa"/>
            <w:tcBorders>
              <w:top w:val="double" w:sz="6" w:space="0" w:color="000000"/>
              <w:left w:val="single" w:sz="6" w:space="0" w:color="000000"/>
              <w:bottom w:val="double" w:sz="6" w:space="0" w:color="000000"/>
              <w:right w:val="single" w:sz="6" w:space="0" w:color="000000"/>
            </w:tcBorders>
            <w:shd w:fill="auto" w:val="clear"/>
          </w:tcPr>
          <w:p>
            <w:pPr>
              <w:pStyle w:val="TableParagraph"/>
              <w:spacing w:before="121" w:after="0"/>
              <w:rPr/>
            </w:pPr>
            <w:r>
              <w:rPr>
                <w:b/>
              </w:rPr>
              <w:t>Post</w:t>
            </w:r>
            <w:r>
              <w:rPr>
                <w:b/>
                <w:spacing w:val="-5"/>
              </w:rPr>
              <w:t xml:space="preserve"> </w:t>
            </w:r>
            <w:r>
              <w:rPr>
                <w:b/>
              </w:rPr>
              <w:t>Hours</w:t>
            </w:r>
            <w:r>
              <w:rPr/>
              <w:t>:</w:t>
            </w:r>
            <w:r>
              <w:rPr>
                <w:spacing w:val="-3"/>
              </w:rPr>
              <w:t xml:space="preserve"> </w:t>
            </w:r>
            <w:r>
              <w:rPr>
                <w:spacing w:val="-5"/>
              </w:rPr>
              <w:t>37</w:t>
            </w:r>
          </w:p>
        </w:tc>
      </w:tr>
      <w:tr>
        <w:trPr>
          <w:trHeight w:val="1525" w:hRule="atLeast"/>
        </w:trPr>
        <w:tc>
          <w:tcPr>
            <w:tcW w:w="10698" w:type="dxa"/>
            <w:gridSpan w:val="2"/>
            <w:tcBorders>
              <w:top w:val="double" w:sz="6" w:space="0" w:color="000000"/>
              <w:left w:val="single" w:sz="6" w:space="0" w:color="000000"/>
              <w:bottom w:val="double" w:sz="6" w:space="0" w:color="000000"/>
              <w:right w:val="single" w:sz="6" w:space="0" w:color="000000"/>
            </w:tcBorders>
            <w:shd w:fill="auto" w:val="clear"/>
          </w:tcPr>
          <w:p>
            <w:pPr>
              <w:pStyle w:val="TableParagraph"/>
              <w:spacing w:before="121" w:after="0"/>
              <w:rPr/>
            </w:pPr>
            <w:r>
              <w:rPr>
                <w:b/>
              </w:rPr>
              <w:t>Special</w:t>
            </w:r>
            <w:r>
              <w:rPr>
                <w:b/>
                <w:spacing w:val="-7"/>
              </w:rPr>
              <w:t xml:space="preserve"> </w:t>
            </w:r>
            <w:r>
              <w:rPr>
                <w:b/>
              </w:rPr>
              <w:t>Conditions</w:t>
            </w:r>
            <w:r>
              <w:rPr>
                <w:b/>
                <w:spacing w:val="-6"/>
              </w:rPr>
              <w:t xml:space="preserve"> </w:t>
            </w:r>
            <w:r>
              <w:rPr>
                <w:b/>
              </w:rPr>
              <w:t>of</w:t>
            </w:r>
            <w:r>
              <w:rPr>
                <w:b/>
                <w:spacing w:val="-5"/>
              </w:rPr>
              <w:t xml:space="preserve"> </w:t>
            </w:r>
            <w:r>
              <w:rPr>
                <w:b/>
                <w:spacing w:val="-2"/>
              </w:rPr>
              <w:t>Service</w:t>
            </w:r>
            <w:r>
              <w:rPr>
                <w:spacing w:val="-2"/>
              </w:rPr>
              <w:t>:</w:t>
            </w:r>
          </w:p>
          <w:p>
            <w:pPr>
              <w:pStyle w:val="TableParagraph"/>
              <w:spacing w:before="12" w:after="0"/>
              <w:ind w:left="0" w:right="0" w:hanging="0"/>
              <w:rPr>
                <w:b/>
                <w:b/>
              </w:rPr>
            </w:pPr>
            <w:r>
              <w:rPr>
                <w:b/>
              </w:rPr>
            </w:r>
          </w:p>
          <w:p>
            <w:pPr>
              <w:pStyle w:val="Normal"/>
              <w:ind w:left="25" w:right="152" w:hanging="0"/>
              <w:jc w:val="both"/>
              <w:rPr>
                <w:rFonts w:cs="Arial"/>
              </w:rPr>
            </w:pPr>
            <w:r>
              <w:rPr>
                <w:rFonts w:cs="Arial"/>
              </w:rPr>
              <w:t>The nature of the post will require the post holder to work flexibly dependent on the needs of the job. This can mean working outside of standard working hours.</w:t>
            </w:r>
          </w:p>
          <w:p>
            <w:pPr>
              <w:pStyle w:val="TableParagraph"/>
              <w:spacing w:lineRule="auto" w:line="276"/>
              <w:ind w:left="107" w:right="185" w:hanging="0"/>
              <w:rPr/>
            </w:pPr>
            <w:r>
              <w:rPr/>
            </w:r>
          </w:p>
        </w:tc>
      </w:tr>
    </w:tbl>
    <w:p>
      <w:pPr>
        <w:sectPr>
          <w:type w:val="continuous"/>
          <w:pgSz w:w="11906" w:h="16850"/>
          <w:pgMar w:left="500" w:right="500" w:header="0" w:top="720" w:footer="0" w:bottom="280" w:gutter="0"/>
          <w:formProt w:val="false"/>
          <w:textDirection w:val="lrTb"/>
          <w:docGrid w:type="default" w:linePitch="360" w:charSpace="0"/>
        </w:sectPr>
      </w:pPr>
    </w:p>
    <w:tbl>
      <w:tblPr>
        <w:tblW w:w="10699" w:type="dxa"/>
        <w:jc w:val="left"/>
        <w:tblInd w:w="112" w:type="dxa"/>
        <w:tblCellMar>
          <w:top w:w="0" w:type="dxa"/>
          <w:left w:w="7" w:type="dxa"/>
          <w:bottom w:w="0" w:type="dxa"/>
          <w:right w:w="7" w:type="dxa"/>
        </w:tblCellMar>
      </w:tblPr>
      <w:tblGrid>
        <w:gridCol w:w="10699"/>
      </w:tblGrid>
      <w:tr>
        <w:trPr>
          <w:trHeight w:val="7745" w:hRule="atLeast"/>
        </w:trPr>
        <w:tc>
          <w:tcPr>
            <w:tcW w:w="10699" w:type="dxa"/>
            <w:tcBorders>
              <w:top w:val="double" w:sz="6" w:space="0" w:color="000000"/>
              <w:left w:val="single" w:sz="6" w:space="0" w:color="000000"/>
              <w:bottom w:val="double" w:sz="6" w:space="0" w:color="000000"/>
              <w:right w:val="single" w:sz="6" w:space="0" w:color="000000"/>
            </w:tcBorders>
            <w:shd w:fill="auto" w:val="clear"/>
          </w:tcPr>
          <w:p>
            <w:pPr>
              <w:pStyle w:val="Normal"/>
              <w:widowControl/>
              <w:spacing w:lineRule="auto" w:line="276" w:before="120" w:after="240"/>
              <w:ind w:left="25" w:right="0" w:hanging="0"/>
              <w:rPr>
                <w:rFonts w:eastAsia="Calibri" w:cs="Arial"/>
                <w:b/>
                <w:b/>
                <w:bCs/>
                <w:lang w:val="en-GB"/>
              </w:rPr>
            </w:pPr>
            <w:r>
              <w:rPr>
                <w:rFonts w:eastAsia="Calibri" w:cs="Arial"/>
                <w:b/>
                <w:bCs/>
                <w:lang w:val="en-GB"/>
              </w:rPr>
              <w:t>Purpose and Objectives of Post:</w:t>
            </w:r>
          </w:p>
          <w:p>
            <w:pPr>
              <w:pStyle w:val="Normal"/>
              <w:widowControl/>
              <w:spacing w:lineRule="auto" w:line="276" w:before="120" w:after="240"/>
              <w:ind w:left="25" w:right="0" w:hanging="0"/>
              <w:rPr>
                <w:rFonts w:eastAsia="Calibri" w:cs="Arial"/>
                <w:lang w:val="en-GB"/>
              </w:rPr>
            </w:pPr>
            <w:r>
              <w:rPr>
                <w:rFonts w:eastAsia="Calibri" w:cs="Arial"/>
                <w:lang w:val="en-GB"/>
              </w:rPr>
              <w:t>The Senior Procurement Manager is a senior professional role within the Corporate Procurement Service, responsible for leading procurement activity across an assigned portfolio of service areas. Portfolios may include Corporate Core (Finance, HR, IT, Digital), Place (Capital, Regeneration, Estates and Facilities), Housing, Health and Adult Care, or Children and Young People (including Schools). While each Senio Procurement Manager develops deep subject matter expertise in their allocated areas, all operate as part of a single corporate procurement team, applying consistent standards, processes and governance.</w:t>
            </w:r>
          </w:p>
          <w:p>
            <w:pPr>
              <w:pStyle w:val="Normal"/>
              <w:widowControl/>
              <w:spacing w:lineRule="auto" w:line="276" w:before="120" w:after="240"/>
              <w:ind w:left="25" w:right="0" w:hanging="0"/>
              <w:rPr>
                <w:rFonts w:eastAsia="Calibri" w:cs="Arial"/>
                <w:lang w:val="en-GB"/>
              </w:rPr>
            </w:pPr>
            <w:r>
              <w:rPr>
                <w:rFonts w:eastAsia="Calibri" w:cs="Arial"/>
                <w:lang w:val="en-GB"/>
              </w:rPr>
              <w:t>The role focuses on the practical delivery of procurement outcomes within categories, translating corporate procurement strategy into sequenced category plans and deliverable procurement pipelines. Senior Procurement Managers apply detailed understanding of service needs, demand drivers and supplier markets to shape sourcing approaches that deliver value for money, resilience and compliance.</w:t>
            </w:r>
          </w:p>
          <w:p>
            <w:pPr>
              <w:pStyle w:val="Normal"/>
              <w:widowControl/>
              <w:spacing w:lineRule="auto" w:line="276" w:before="120" w:after="240"/>
              <w:ind w:left="25" w:right="0" w:hanging="0"/>
              <w:rPr>
                <w:rFonts w:eastAsia="Calibri" w:cs="Arial"/>
                <w:lang w:val="en-GB"/>
              </w:rPr>
            </w:pPr>
            <w:r>
              <w:rPr>
                <w:rFonts w:eastAsia="Calibri" w:cs="Arial"/>
                <w:lang w:val="en-GB"/>
              </w:rPr>
              <w:t>Working closely with service commissioners, budget holders, project managers and service owners, the Senior Procurement Manager provides professional procurement advice throughout the sourcing process, offering commercial challenge while ensuring activity complies with procurement legislation, financial regulations and internal policy. The role supports the effective mobilisation of contracts and the establishment of clear contract and supplier management arrangements.</w:t>
            </w:r>
          </w:p>
          <w:p>
            <w:pPr>
              <w:pStyle w:val="Normal"/>
              <w:widowControl/>
              <w:spacing w:lineRule="auto" w:line="276" w:before="120" w:after="240"/>
              <w:ind w:left="25" w:right="0" w:hanging="0"/>
              <w:rPr>
                <w:rFonts w:eastAsia="Calibri" w:cs="Arial"/>
                <w:lang w:val="en-GB"/>
              </w:rPr>
            </w:pPr>
            <w:r>
              <w:rPr>
                <w:rFonts w:eastAsia="Calibri" w:cs="Arial"/>
                <w:lang w:val="en-GB"/>
              </w:rPr>
              <w:t>Senior Procurement Managers provide day-to-day professional leadership to Procurement Officers and Apprentices allocated to their portfolios, allocating work and supporting development in line with workload and project demands. They are also responsible for ensuring effective use of the Council’s procurement and financial systems, including Unit4 ERP, Scanmarket and Proactis, to support transparent, compliant and efficient procurement delivery, escalating strategic or high-risk issues to the Head of Procurement as appropriate.</w:t>
            </w:r>
          </w:p>
        </w:tc>
      </w:tr>
      <w:tr>
        <w:trPr>
          <w:trHeight w:val="667" w:hRule="atLeast"/>
        </w:trPr>
        <w:tc>
          <w:tcPr>
            <w:tcW w:w="10699" w:type="dxa"/>
            <w:tcBorders>
              <w:top w:val="double" w:sz="6" w:space="0" w:color="000000"/>
              <w:left w:val="single" w:sz="6" w:space="0" w:color="000000"/>
              <w:bottom w:val="double" w:sz="6" w:space="0" w:color="000000"/>
              <w:right w:val="single" w:sz="6" w:space="0" w:color="000000"/>
            </w:tcBorders>
            <w:shd w:fill="auto" w:val="clear"/>
          </w:tcPr>
          <w:p>
            <w:pPr>
              <w:pStyle w:val="TableParagraph"/>
              <w:spacing w:before="121" w:after="0"/>
              <w:rPr/>
            </w:pPr>
            <w:r>
              <w:rPr>
                <w:b/>
              </w:rPr>
              <w:t>Accountable</w:t>
            </w:r>
            <w:r>
              <w:rPr>
                <w:b/>
                <w:spacing w:val="-6"/>
              </w:rPr>
              <w:t xml:space="preserve"> </w:t>
            </w:r>
            <w:r>
              <w:rPr>
                <w:b/>
              </w:rPr>
              <w:t>to</w:t>
            </w:r>
            <w:r>
              <w:rPr/>
              <w:t>:</w:t>
            </w:r>
            <w:r>
              <w:rPr>
                <w:spacing w:val="-4"/>
              </w:rPr>
              <w:t xml:space="preserve"> Head of Procurement</w:t>
            </w:r>
          </w:p>
        </w:tc>
      </w:tr>
      <w:tr>
        <w:trPr>
          <w:trHeight w:val="836" w:hRule="atLeast"/>
        </w:trPr>
        <w:tc>
          <w:tcPr>
            <w:tcW w:w="10699" w:type="dxa"/>
            <w:tcBorders>
              <w:top w:val="double" w:sz="6" w:space="0" w:color="000000"/>
              <w:left w:val="single" w:sz="6" w:space="0" w:color="000000"/>
              <w:bottom w:val="double" w:sz="6" w:space="0" w:color="000000"/>
              <w:right w:val="single" w:sz="6" w:space="0" w:color="000000"/>
            </w:tcBorders>
            <w:shd w:fill="auto" w:val="clear"/>
          </w:tcPr>
          <w:p>
            <w:pPr>
              <w:pStyle w:val="TableParagraph"/>
              <w:spacing w:before="118" w:after="0"/>
              <w:rPr/>
            </w:pPr>
            <w:r>
              <w:rPr>
                <w:b/>
              </w:rPr>
              <w:t>Immediately</w:t>
            </w:r>
            <w:r>
              <w:rPr>
                <w:b/>
                <w:spacing w:val="-8"/>
              </w:rPr>
              <w:t xml:space="preserve"> </w:t>
            </w:r>
            <w:r>
              <w:rPr>
                <w:b/>
              </w:rPr>
              <w:t>Responsible</w:t>
            </w:r>
            <w:r>
              <w:rPr>
                <w:b/>
                <w:spacing w:val="-6"/>
              </w:rPr>
              <w:t xml:space="preserve"> </w:t>
            </w:r>
            <w:r>
              <w:rPr>
                <w:b/>
              </w:rPr>
              <w:t>to</w:t>
            </w:r>
            <w:r>
              <w:rPr/>
              <w:t>:</w:t>
            </w:r>
            <w:r>
              <w:rPr>
                <w:spacing w:val="-4"/>
              </w:rPr>
              <w:t xml:space="preserve"> Head of Procurement</w:t>
            </w:r>
          </w:p>
        </w:tc>
      </w:tr>
      <w:tr>
        <w:trPr>
          <w:trHeight w:val="975" w:hRule="atLeast"/>
        </w:trPr>
        <w:tc>
          <w:tcPr>
            <w:tcW w:w="10699" w:type="dxa"/>
            <w:tcBorders>
              <w:top w:val="double" w:sz="6" w:space="0" w:color="000000"/>
              <w:left w:val="single" w:sz="6" w:space="0" w:color="000000"/>
              <w:bottom w:val="double" w:sz="6" w:space="0" w:color="000000"/>
              <w:right w:val="single" w:sz="6" w:space="0" w:color="000000"/>
            </w:tcBorders>
            <w:shd w:fill="auto" w:val="clear"/>
          </w:tcPr>
          <w:p>
            <w:pPr>
              <w:pStyle w:val="TableParagraph"/>
              <w:spacing w:lineRule="auto" w:line="276" w:before="121" w:after="0"/>
              <w:rPr/>
            </w:pPr>
            <w:r>
              <w:rPr>
                <w:b/>
              </w:rPr>
              <w:t>Immediately</w:t>
            </w:r>
            <w:r>
              <w:rPr>
                <w:b/>
                <w:spacing w:val="-4"/>
              </w:rPr>
              <w:t xml:space="preserve"> </w:t>
            </w:r>
            <w:r>
              <w:rPr>
                <w:b/>
              </w:rPr>
              <w:t>Responsible</w:t>
            </w:r>
            <w:r>
              <w:rPr>
                <w:b/>
                <w:spacing w:val="-5"/>
              </w:rPr>
              <w:t xml:space="preserve"> </w:t>
            </w:r>
            <w:r>
              <w:rPr>
                <w:b/>
              </w:rPr>
              <w:t>for</w:t>
            </w:r>
            <w:r>
              <w:rPr/>
              <w:t>:</w:t>
            </w:r>
            <w:r>
              <w:rPr>
                <w:spacing w:val="-6"/>
              </w:rPr>
              <w:t xml:space="preserve"> Assigned Procurement Officers and Apprentices</w:t>
            </w:r>
          </w:p>
        </w:tc>
      </w:tr>
      <w:tr>
        <w:trPr>
          <w:trHeight w:val="1798" w:hRule="atLeast"/>
        </w:trPr>
        <w:tc>
          <w:tcPr>
            <w:tcW w:w="10699" w:type="dxa"/>
            <w:tcBorders>
              <w:top w:val="double" w:sz="6" w:space="0" w:color="000000"/>
              <w:left w:val="single" w:sz="6" w:space="0" w:color="000000"/>
              <w:bottom w:val="double" w:sz="6" w:space="0" w:color="000000"/>
              <w:right w:val="single" w:sz="6" w:space="0" w:color="000000"/>
            </w:tcBorders>
            <w:shd w:fill="auto" w:val="clear"/>
          </w:tcPr>
          <w:p>
            <w:pPr>
              <w:pStyle w:val="TableParagraph"/>
              <w:spacing w:before="121" w:after="0"/>
              <w:rPr/>
            </w:pPr>
            <w:r>
              <w:rPr>
                <w:b/>
              </w:rPr>
              <w:t>Relationships:</w:t>
            </w:r>
            <w:r>
              <w:rPr>
                <w:b/>
                <w:spacing w:val="-9"/>
              </w:rPr>
              <w:t xml:space="preserve"> </w:t>
            </w:r>
            <w:r>
              <w:rPr>
                <w:b/>
              </w:rPr>
              <w:t>(Internal</w:t>
            </w:r>
            <w:r>
              <w:rPr>
                <w:b/>
                <w:spacing w:val="-10"/>
              </w:rPr>
              <w:t xml:space="preserve"> </w:t>
            </w:r>
            <w:r>
              <w:rPr>
                <w:b/>
              </w:rPr>
              <w:t>and</w:t>
            </w:r>
            <w:r>
              <w:rPr>
                <w:b/>
                <w:spacing w:val="-9"/>
              </w:rPr>
              <w:t xml:space="preserve"> </w:t>
            </w:r>
            <w:r>
              <w:rPr>
                <w:b/>
                <w:spacing w:val="-2"/>
              </w:rPr>
              <w:t>External)</w:t>
            </w:r>
          </w:p>
          <w:p>
            <w:pPr>
              <w:pStyle w:val="TableParagraph"/>
              <w:spacing w:lineRule="auto" w:line="276" w:before="160" w:after="0"/>
              <w:ind w:left="107" w:right="152" w:hanging="0"/>
              <w:jc w:val="both"/>
              <w:rPr>
                <w:lang w:val="en-GB"/>
              </w:rPr>
            </w:pPr>
            <w:r>
              <w:rPr>
                <w:lang w:val="en-GB"/>
              </w:rPr>
              <w:t>Finance leadership team, Directors and Assistant Directors, Service Heads and Managers, commissioning and operational teams, Legal Services, Internal Audit, suppliers and market partners, collaborative procurement bodies, regional and national procurement networks.</w:t>
            </w:r>
          </w:p>
          <w:p>
            <w:pPr>
              <w:pStyle w:val="TableParagraph"/>
              <w:spacing w:lineRule="auto" w:line="276" w:before="160" w:after="0"/>
              <w:ind w:left="107" w:right="152" w:hanging="0"/>
              <w:jc w:val="both"/>
              <w:rPr/>
            </w:pPr>
            <w:r>
              <w:rPr/>
            </w:r>
          </w:p>
        </w:tc>
      </w:tr>
      <w:tr>
        <w:trPr>
          <w:trHeight w:val="954" w:hRule="atLeast"/>
        </w:trPr>
        <w:tc>
          <w:tcPr>
            <w:tcW w:w="10699" w:type="dxa"/>
            <w:tcBorders>
              <w:top w:val="double" w:sz="6" w:space="0" w:color="000000"/>
              <w:left w:val="single" w:sz="6" w:space="0" w:color="000000"/>
              <w:bottom w:val="single" w:sz="6" w:space="0" w:color="000000"/>
              <w:right w:val="single" w:sz="6" w:space="0" w:color="000000"/>
            </w:tcBorders>
            <w:shd w:fill="auto" w:val="clear"/>
          </w:tcPr>
          <w:p>
            <w:pPr>
              <w:pStyle w:val="TableParagraph"/>
              <w:spacing w:before="121" w:after="0"/>
              <w:rPr/>
            </w:pPr>
            <w:r>
              <w:rPr>
                <w:b/>
              </w:rPr>
              <w:t>Control</w:t>
            </w:r>
            <w:r>
              <w:rPr>
                <w:b/>
                <w:spacing w:val="-8"/>
              </w:rPr>
              <w:t xml:space="preserve"> </w:t>
            </w:r>
            <w:r>
              <w:rPr>
                <w:b/>
              </w:rPr>
              <w:t>of</w:t>
            </w:r>
            <w:r>
              <w:rPr>
                <w:b/>
                <w:spacing w:val="-6"/>
              </w:rPr>
              <w:t xml:space="preserve"> </w:t>
            </w:r>
            <w:r>
              <w:rPr>
                <w:b/>
              </w:rPr>
              <w:t>Resources</w:t>
            </w:r>
            <w:r>
              <w:rPr/>
              <w:t>:</w:t>
            </w:r>
            <w:r>
              <w:rPr>
                <w:spacing w:val="-5"/>
              </w:rPr>
              <w:t xml:space="preserve"> </w:t>
            </w:r>
            <w:r>
              <w:rPr>
                <w:lang w:val="en-GB"/>
              </w:rPr>
              <w:t>Responsible for leading and coordinating procurement activity across assigned category portfolios, influencing significant areas of third-party expenditure through the planning and delivery of compliant procurement exercises. Provides operational oversight of category pipelines and contracts at a portfolio level, ensuring resources are used effectively and risks are managed, in line with corporate governance and delegated authority.</w:t>
            </w:r>
          </w:p>
          <w:p>
            <w:pPr>
              <w:pStyle w:val="TableParagraph"/>
              <w:spacing w:before="121" w:after="0"/>
              <w:rPr/>
            </w:pPr>
            <w:r>
              <w:rPr/>
            </w:r>
          </w:p>
        </w:tc>
      </w:tr>
    </w:tbl>
    <w:tbl>
      <w:tblPr>
        <w:tblW w:w="10698" w:type="dxa"/>
        <w:jc w:val="left"/>
        <w:tblInd w:w="112" w:type="dxa"/>
        <w:tblCellMar>
          <w:top w:w="0" w:type="dxa"/>
          <w:left w:w="7" w:type="dxa"/>
          <w:bottom w:w="0" w:type="dxa"/>
          <w:right w:w="7" w:type="dxa"/>
        </w:tblCellMar>
      </w:tblPr>
      <w:tblGrid>
        <w:gridCol w:w="4529"/>
        <w:gridCol w:w="3508"/>
        <w:gridCol w:w="2661"/>
      </w:tblGrid>
      <w:tr>
        <w:trPr>
          <w:trHeight w:val="993" w:hRule="atLeast"/>
        </w:trPr>
        <w:tc>
          <w:tcPr>
            <w:tcW w:w="10698" w:type="dxa"/>
            <w:gridSpan w:val="3"/>
            <w:tcBorders>
              <w:left w:val="single" w:sz="6" w:space="0" w:color="000000"/>
              <w:right w:val="single" w:sz="6" w:space="0" w:color="000000"/>
            </w:tcBorders>
            <w:shd w:fill="auto" w:val="clear"/>
          </w:tcPr>
          <w:p>
            <w:pPr>
              <w:pStyle w:val="TableParagraph"/>
              <w:tabs>
                <w:tab w:val="clear" w:pos="720"/>
                <w:tab w:val="left" w:pos="467" w:leader="none"/>
              </w:tabs>
              <w:spacing w:lineRule="auto" w:line="268" w:before="243" w:after="0"/>
              <w:ind w:left="107" w:right="152" w:hanging="0"/>
              <w:jc w:val="both"/>
              <w:rPr>
                <w:b/>
                <w:b/>
                <w:lang w:val="en-GB"/>
              </w:rPr>
            </w:pPr>
            <w:r>
              <w:rPr>
                <w:b/>
                <w:lang w:val="en-GB"/>
              </w:rPr>
              <w:t>Qualifications and Development</w:t>
            </w:r>
          </w:p>
          <w:p>
            <w:pPr>
              <w:pStyle w:val="TableParagraph"/>
              <w:tabs>
                <w:tab w:val="clear" w:pos="720"/>
                <w:tab w:val="left" w:pos="467" w:leader="none"/>
              </w:tabs>
              <w:spacing w:lineRule="auto" w:line="268" w:before="243" w:after="0"/>
              <w:ind w:left="107" w:right="152" w:hanging="0"/>
              <w:jc w:val="both"/>
              <w:rPr>
                <w:b/>
                <w:b/>
                <w:bCs/>
                <w:lang w:val="en-GB"/>
              </w:rPr>
            </w:pPr>
            <w:r>
              <w:rPr>
                <w:b/>
                <w:bCs/>
                <w:lang w:val="en-GB"/>
              </w:rPr>
              <w:t>Minimum qualification requirement</w:t>
            </w:r>
          </w:p>
          <w:p>
            <w:pPr>
              <w:pStyle w:val="TableParagraph"/>
              <w:tabs>
                <w:tab w:val="clear" w:pos="720"/>
                <w:tab w:val="left" w:pos="467" w:leader="none"/>
              </w:tabs>
              <w:spacing w:lineRule="auto" w:line="268" w:before="243" w:after="0"/>
              <w:ind w:left="107" w:right="152" w:hanging="0"/>
              <w:jc w:val="both"/>
              <w:rPr>
                <w:bCs/>
                <w:lang w:val="en-GB"/>
              </w:rPr>
            </w:pPr>
            <w:r>
              <w:rPr>
                <w:bCs/>
                <w:lang w:val="en-GB"/>
              </w:rPr>
              <w:t>A degree or equivalent professional experience.</w:t>
            </w:r>
          </w:p>
          <w:p>
            <w:pPr>
              <w:pStyle w:val="TableParagraph"/>
              <w:tabs>
                <w:tab w:val="clear" w:pos="720"/>
                <w:tab w:val="left" w:pos="467" w:leader="none"/>
              </w:tabs>
              <w:spacing w:lineRule="auto" w:line="268" w:before="243" w:after="0"/>
              <w:ind w:left="107" w:right="152" w:hanging="0"/>
              <w:jc w:val="both"/>
              <w:rPr>
                <w:bCs/>
                <w:lang w:val="en-GB"/>
              </w:rPr>
            </w:pPr>
            <w:r>
              <w:rPr>
                <w:bCs/>
                <w:lang w:val="en-GB"/>
              </w:rPr>
              <w:t>Professional procurement qualification (MCIPS) or demonstrable progress towards MCIPS.</w:t>
            </w:r>
          </w:p>
          <w:p>
            <w:pPr>
              <w:pStyle w:val="TableParagraph"/>
              <w:tabs>
                <w:tab w:val="clear" w:pos="720"/>
                <w:tab w:val="left" w:pos="467" w:leader="none"/>
              </w:tabs>
              <w:spacing w:lineRule="auto" w:line="268" w:before="243" w:after="0"/>
              <w:ind w:left="107" w:right="152" w:hanging="0"/>
              <w:jc w:val="both"/>
              <w:rPr>
                <w:b/>
                <w:b/>
                <w:bCs/>
                <w:lang w:val="en-GB"/>
              </w:rPr>
            </w:pPr>
            <w:r>
              <w:rPr>
                <w:b/>
                <w:bCs/>
                <w:lang w:val="en-GB"/>
              </w:rPr>
              <w:t>Expected professional standing</w:t>
            </w:r>
          </w:p>
          <w:p>
            <w:pPr>
              <w:pStyle w:val="TableParagraph"/>
              <w:tabs>
                <w:tab w:val="clear" w:pos="720"/>
                <w:tab w:val="left" w:pos="467" w:leader="none"/>
              </w:tabs>
              <w:spacing w:lineRule="auto" w:line="268" w:before="243" w:after="0"/>
              <w:ind w:left="107" w:right="152" w:hanging="0"/>
              <w:jc w:val="both"/>
              <w:rPr>
                <w:bCs/>
                <w:lang w:val="en-GB"/>
              </w:rPr>
            </w:pPr>
            <w:r>
              <w:rPr>
                <w:bCs/>
                <w:lang w:val="en-GB"/>
              </w:rPr>
              <w:t>Relevant experience delivering public sector procurement or complex regulated procurement activity.</w:t>
            </w:r>
          </w:p>
          <w:p>
            <w:pPr>
              <w:pStyle w:val="TableParagraph"/>
              <w:tabs>
                <w:tab w:val="clear" w:pos="720"/>
                <w:tab w:val="left" w:pos="467" w:leader="none"/>
              </w:tabs>
              <w:spacing w:lineRule="auto" w:line="268" w:before="243" w:after="0"/>
              <w:ind w:left="107" w:right="152" w:hanging="0"/>
              <w:jc w:val="both"/>
              <w:rPr>
                <w:bCs/>
                <w:lang w:val="en-GB"/>
              </w:rPr>
            </w:pPr>
            <w:r>
              <w:rPr>
                <w:bCs/>
                <w:lang w:val="en-GB"/>
              </w:rPr>
              <w:t>Experience acting as a subject matter expert for defined service or category areas.</w:t>
            </w:r>
          </w:p>
          <w:p>
            <w:pPr>
              <w:pStyle w:val="TableParagraph"/>
              <w:tabs>
                <w:tab w:val="clear" w:pos="720"/>
                <w:tab w:val="left" w:pos="467" w:leader="none"/>
              </w:tabs>
              <w:spacing w:lineRule="auto" w:line="268" w:before="243" w:after="0"/>
              <w:ind w:left="107" w:right="152" w:hanging="0"/>
              <w:jc w:val="both"/>
              <w:rPr>
                <w:b/>
                <w:b/>
                <w:bCs/>
                <w:lang w:val="en-GB"/>
              </w:rPr>
            </w:pPr>
            <w:r>
              <w:rPr>
                <w:b/>
                <w:bCs/>
                <w:lang w:val="en-GB"/>
              </w:rPr>
              <w:t>Development expectation</w:t>
            </w:r>
          </w:p>
          <w:p>
            <w:pPr>
              <w:pStyle w:val="TableParagraph"/>
              <w:tabs>
                <w:tab w:val="clear" w:pos="720"/>
                <w:tab w:val="left" w:pos="467" w:leader="none"/>
              </w:tabs>
              <w:spacing w:lineRule="auto" w:line="268" w:before="243" w:after="0"/>
              <w:ind w:left="107" w:right="152" w:hanging="0"/>
              <w:jc w:val="both"/>
              <w:rPr>
                <w:bCs/>
                <w:lang w:val="en-GB"/>
              </w:rPr>
            </w:pPr>
            <w:r>
              <w:rPr>
                <w:bCs/>
                <w:lang w:val="en-GB"/>
              </w:rPr>
              <w:t>Completion of MCIPS (where not already qualified).</w:t>
            </w:r>
          </w:p>
          <w:p>
            <w:pPr>
              <w:pStyle w:val="TableParagraph"/>
              <w:tabs>
                <w:tab w:val="clear" w:pos="720"/>
                <w:tab w:val="left" w:pos="467" w:leader="none"/>
              </w:tabs>
              <w:spacing w:lineRule="auto" w:line="268" w:before="243" w:after="0"/>
              <w:ind w:left="107" w:right="152" w:hanging="0"/>
              <w:jc w:val="both"/>
              <w:rPr>
                <w:bCs/>
                <w:lang w:val="en-GB"/>
              </w:rPr>
            </w:pPr>
            <w:r>
              <w:rPr>
                <w:bCs/>
                <w:lang w:val="en-GB"/>
              </w:rPr>
              <w:t>Ongoing CPD to maintain procurement, commercial and category-specific expertise.</w:t>
            </w:r>
          </w:p>
        </w:tc>
      </w:tr>
      <w:tr>
        <w:trPr>
          <w:trHeight w:val="993" w:hRule="atLeast"/>
        </w:trPr>
        <w:tc>
          <w:tcPr>
            <w:tcW w:w="10698" w:type="dxa"/>
            <w:gridSpan w:val="3"/>
            <w:tcBorders>
              <w:left w:val="single" w:sz="6" w:space="0" w:color="000000"/>
              <w:right w:val="single" w:sz="6" w:space="0" w:color="000000"/>
            </w:tcBorders>
            <w:shd w:fill="auto" w:val="clear"/>
          </w:tcPr>
          <w:p>
            <w:pPr>
              <w:pStyle w:val="TableParagraph"/>
              <w:tabs>
                <w:tab w:val="clear" w:pos="720"/>
                <w:tab w:val="left" w:pos="467" w:leader="none"/>
              </w:tabs>
              <w:spacing w:lineRule="auto" w:line="268" w:before="243" w:after="0"/>
              <w:ind w:left="107" w:right="152" w:hanging="0"/>
              <w:jc w:val="both"/>
              <w:rPr>
                <w:b/>
                <w:b/>
                <w:lang w:val="en-GB"/>
              </w:rPr>
            </w:pPr>
            <w:r>
              <w:rPr>
                <w:b/>
                <w:lang w:val="en-GB"/>
              </w:rPr>
              <w:t>Functional Duties and Responsibilities</w:t>
            </w:r>
          </w:p>
          <w:p>
            <w:pPr>
              <w:pStyle w:val="TableParagraph"/>
              <w:tabs>
                <w:tab w:val="clear" w:pos="720"/>
                <w:tab w:val="left" w:pos="467" w:leader="none"/>
              </w:tabs>
              <w:spacing w:lineRule="auto" w:line="268" w:before="243" w:after="0"/>
              <w:ind w:left="107" w:right="152" w:hanging="0"/>
              <w:jc w:val="both"/>
              <w:rPr>
                <w:b/>
                <w:b/>
                <w:lang w:val="en-GB"/>
              </w:rPr>
            </w:pPr>
            <w:r>
              <w:rPr>
                <w:b/>
                <w:lang w:val="en-GB"/>
              </w:rPr>
              <w:t>Senior Procurement Manager</w:t>
            </w:r>
          </w:p>
          <w:p>
            <w:pPr>
              <w:pStyle w:val="TableParagraph"/>
              <w:tabs>
                <w:tab w:val="clear" w:pos="720"/>
                <w:tab w:val="left" w:pos="467" w:leader="none"/>
              </w:tabs>
              <w:spacing w:lineRule="auto" w:line="268" w:before="243" w:after="0"/>
              <w:ind w:left="107" w:right="152" w:hanging="0"/>
              <w:jc w:val="both"/>
              <w:rPr>
                <w:bCs/>
                <w:lang w:val="en-GB"/>
              </w:rPr>
            </w:pPr>
            <w:r>
              <w:rPr>
                <w:bCs/>
                <w:lang w:val="en-GB"/>
              </w:rPr>
              <w:t>Working with a high degree of autonomy, the post holder provides strategic category leadership across complex or high-value portfolios and leads major, sensitive or cross-council procurement programmes. The role shapes commercial strategy, influences senior stakeholders and delivers significant financial and service outcomes for the organisation.</w:t>
            </w:r>
          </w:p>
          <w:p>
            <w:pPr>
              <w:pStyle w:val="TableParagraph"/>
              <w:tabs>
                <w:tab w:val="clear" w:pos="720"/>
                <w:tab w:val="left" w:pos="467" w:leader="none"/>
              </w:tabs>
              <w:spacing w:lineRule="auto" w:line="268" w:before="243" w:after="0"/>
              <w:ind w:left="107" w:right="152" w:hanging="0"/>
              <w:jc w:val="both"/>
              <w:rPr>
                <w:bCs/>
                <w:lang w:val="en-GB"/>
              </w:rPr>
            </w:pPr>
            <w:r>
              <w:rPr>
                <w:bCs/>
                <w:lang w:val="en-GB"/>
              </w:rPr>
              <w:t>Lead the planning and delivery of complex, high-value, politically sensitive or transformational procurements and programmes with significant financial, reputational or service risk</w:t>
            </w:r>
          </w:p>
          <w:p>
            <w:pPr>
              <w:pStyle w:val="TableParagraph"/>
              <w:tabs>
                <w:tab w:val="clear" w:pos="720"/>
                <w:tab w:val="left" w:pos="467" w:leader="none"/>
              </w:tabs>
              <w:spacing w:lineRule="auto" w:line="268" w:before="243" w:after="0"/>
              <w:ind w:left="107" w:right="152" w:hanging="0"/>
              <w:jc w:val="both"/>
              <w:rPr>
                <w:bCs/>
                <w:lang w:val="en-GB"/>
              </w:rPr>
            </w:pPr>
            <w:r>
              <w:rPr>
                <w:bCs/>
                <w:lang w:val="en-GB"/>
              </w:rPr>
              <w:t>Develop and own long-term category strategies aligned to corporate priorities, the Medium-Term Financial Strategy and service transformation plans, shaping how third-party spend is optimised across the Council</w:t>
            </w:r>
          </w:p>
          <w:p>
            <w:pPr>
              <w:pStyle w:val="TableParagraph"/>
              <w:tabs>
                <w:tab w:val="clear" w:pos="720"/>
                <w:tab w:val="left" w:pos="467" w:leader="none"/>
              </w:tabs>
              <w:spacing w:lineRule="auto" w:line="268" w:before="243" w:after="0"/>
              <w:ind w:left="107" w:right="152" w:hanging="0"/>
              <w:jc w:val="both"/>
              <w:rPr>
                <w:bCs/>
                <w:lang w:val="en-GB"/>
              </w:rPr>
            </w:pPr>
            <w:r>
              <w:rPr>
                <w:bCs/>
                <w:lang w:val="en-GB"/>
              </w:rPr>
              <w:t>Provide strategic commercial advice to Directors, Assistant Directors and senior leadership teams on sourcing options, market design, risk allocation and investment decisions</w:t>
            </w:r>
          </w:p>
          <w:p>
            <w:pPr>
              <w:pStyle w:val="TableParagraph"/>
              <w:tabs>
                <w:tab w:val="clear" w:pos="720"/>
                <w:tab w:val="left" w:pos="467" w:leader="none"/>
              </w:tabs>
              <w:spacing w:lineRule="auto" w:line="268" w:before="243" w:after="0"/>
              <w:ind w:left="107" w:right="152" w:hanging="0"/>
              <w:jc w:val="both"/>
              <w:rPr>
                <w:bCs/>
                <w:lang w:val="en-GB"/>
              </w:rPr>
            </w:pPr>
            <w:r>
              <w:rPr>
                <w:bCs/>
                <w:lang w:val="en-GB"/>
              </w:rPr>
              <w:t>Lead complex negotiations and supplier strategies for critical or strategic contracts, securing best value, innovation, resilience and social value outcomes</w:t>
            </w:r>
          </w:p>
          <w:p>
            <w:pPr>
              <w:pStyle w:val="TableParagraph"/>
              <w:tabs>
                <w:tab w:val="clear" w:pos="720"/>
                <w:tab w:val="left" w:pos="467" w:leader="none"/>
              </w:tabs>
              <w:spacing w:lineRule="auto" w:line="268" w:before="243" w:after="0"/>
              <w:ind w:left="107" w:right="152" w:hanging="0"/>
              <w:jc w:val="both"/>
              <w:rPr>
                <w:bCs/>
                <w:lang w:val="en-GB"/>
              </w:rPr>
            </w:pPr>
            <w:r>
              <w:rPr>
                <w:bCs/>
                <w:lang w:val="en-GB"/>
              </w:rPr>
              <w:t>Influence service design and commissioning approaches to embed commercial thinking, demand management and whole-life cost considerations</w:t>
            </w:r>
          </w:p>
          <w:p>
            <w:pPr>
              <w:pStyle w:val="TableParagraph"/>
              <w:tabs>
                <w:tab w:val="clear" w:pos="720"/>
                <w:tab w:val="left" w:pos="467" w:leader="none"/>
              </w:tabs>
              <w:spacing w:lineRule="auto" w:line="268" w:before="243" w:after="0"/>
              <w:ind w:left="107" w:right="152" w:hanging="0"/>
              <w:jc w:val="both"/>
              <w:rPr>
                <w:bCs/>
                <w:lang w:val="en-GB"/>
              </w:rPr>
            </w:pPr>
            <w:r>
              <w:rPr>
                <w:bCs/>
                <w:lang w:val="en-GB"/>
              </w:rPr>
              <w:t>Act as the senior escalation and resolution point for complex contractual, performance or market issues</w:t>
            </w:r>
          </w:p>
          <w:p>
            <w:pPr>
              <w:pStyle w:val="TableParagraph"/>
              <w:tabs>
                <w:tab w:val="clear" w:pos="720"/>
                <w:tab w:val="left" w:pos="467" w:leader="none"/>
              </w:tabs>
              <w:spacing w:lineRule="auto" w:line="268" w:before="243" w:after="0"/>
              <w:ind w:left="107" w:right="152" w:hanging="0"/>
              <w:jc w:val="both"/>
              <w:rPr>
                <w:bCs/>
                <w:lang w:val="en-GB"/>
              </w:rPr>
            </w:pPr>
            <w:r>
              <w:rPr>
                <w:bCs/>
                <w:lang w:val="en-GB"/>
              </w:rPr>
              <w:t>Drive aggregation, collaboration and cross-council opportunities to maximise leverage and deliver measurable savings and efficiencies at portfolio or corporate level</w:t>
            </w:r>
          </w:p>
          <w:p>
            <w:pPr>
              <w:pStyle w:val="TableParagraph"/>
              <w:tabs>
                <w:tab w:val="clear" w:pos="720"/>
                <w:tab w:val="left" w:pos="467" w:leader="none"/>
              </w:tabs>
              <w:spacing w:lineRule="auto" w:line="268" w:before="243" w:after="0"/>
              <w:ind w:left="107" w:right="152" w:hanging="0"/>
              <w:jc w:val="both"/>
              <w:rPr>
                <w:bCs/>
                <w:lang w:val="en-GB"/>
              </w:rPr>
            </w:pPr>
            <w:r>
              <w:rPr>
                <w:bCs/>
                <w:lang w:val="en-GB"/>
              </w:rPr>
              <w:t>Provide visible professional leadership across the procurement function, mentoring Category Managers and officers, supporting workforce planning and raising standards of practice</w:t>
            </w:r>
          </w:p>
          <w:p>
            <w:pPr>
              <w:pStyle w:val="TableParagraph"/>
              <w:tabs>
                <w:tab w:val="clear" w:pos="720"/>
                <w:tab w:val="left" w:pos="467" w:leader="none"/>
              </w:tabs>
              <w:spacing w:lineRule="auto" w:line="268" w:before="243" w:after="0"/>
              <w:ind w:left="107" w:right="152" w:hanging="0"/>
              <w:jc w:val="both"/>
              <w:rPr>
                <w:bCs/>
                <w:lang w:val="en-GB"/>
              </w:rPr>
            </w:pPr>
            <w:r>
              <w:rPr>
                <w:bCs/>
                <w:lang w:val="en-GB"/>
              </w:rPr>
              <w:t>Contribute to the development of corporate procurement strategy, policy, governance frameworks and assurance arrangements</w:t>
            </w:r>
          </w:p>
          <w:p>
            <w:pPr>
              <w:pStyle w:val="TableParagraph"/>
              <w:tabs>
                <w:tab w:val="clear" w:pos="720"/>
                <w:tab w:val="left" w:pos="467" w:leader="none"/>
              </w:tabs>
              <w:spacing w:lineRule="auto" w:line="268" w:before="243" w:after="0"/>
              <w:ind w:left="107" w:right="152" w:hanging="0"/>
              <w:jc w:val="both"/>
              <w:rPr>
                <w:bCs/>
                <w:lang w:val="en-GB"/>
              </w:rPr>
            </w:pPr>
            <w:r>
              <w:rPr>
                <w:bCs/>
                <w:lang w:val="en-GB"/>
              </w:rPr>
              <w:t>Deputise for the Head of Procurement at senior forums, boards and member meetings, representing the Council in external partnerships and negotiations</w:t>
            </w:r>
          </w:p>
          <w:p>
            <w:pPr>
              <w:pStyle w:val="TableParagraph"/>
              <w:tabs>
                <w:tab w:val="clear" w:pos="720"/>
                <w:tab w:val="left" w:pos="467" w:leader="none"/>
              </w:tabs>
              <w:spacing w:lineRule="auto" w:line="268" w:before="243" w:after="0"/>
              <w:ind w:left="107" w:right="152" w:hanging="0"/>
              <w:jc w:val="both"/>
              <w:rPr>
                <w:bCs/>
                <w:lang w:val="en-GB"/>
              </w:rPr>
            </w:pPr>
            <w:r>
              <w:rPr>
                <w:bCs/>
                <w:lang w:val="en-GB"/>
              </w:rPr>
              <w:t>Lead improvement initiatives including digital adoption, data insight, and best practice processes to enhance organisational capability and performance</w:t>
            </w:r>
          </w:p>
          <w:p>
            <w:pPr>
              <w:pStyle w:val="TableParagraph"/>
              <w:tabs>
                <w:tab w:val="clear" w:pos="720"/>
                <w:tab w:val="left" w:pos="467" w:leader="none"/>
              </w:tabs>
              <w:spacing w:lineRule="auto" w:line="268" w:before="243" w:after="0"/>
              <w:ind w:left="107" w:right="152" w:hanging="0"/>
              <w:jc w:val="both"/>
              <w:rPr>
                <w:bCs/>
                <w:lang w:val="en-GB"/>
              </w:rPr>
            </w:pPr>
            <w:r>
              <w:rPr>
                <w:bCs/>
                <w:lang w:val="en-GB"/>
              </w:rPr>
            </w:r>
          </w:p>
        </w:tc>
      </w:tr>
      <w:tr>
        <w:trPr>
          <w:trHeight w:val="993" w:hRule="atLeast"/>
        </w:trPr>
        <w:tc>
          <w:tcPr>
            <w:tcW w:w="10698" w:type="dxa"/>
            <w:gridSpan w:val="3"/>
            <w:tcBorders>
              <w:left w:val="single" w:sz="6" w:space="0" w:color="000000"/>
              <w:right w:val="single" w:sz="6" w:space="0" w:color="000000"/>
            </w:tcBorders>
            <w:shd w:fill="auto" w:val="clear"/>
          </w:tcPr>
          <w:p>
            <w:pPr>
              <w:pStyle w:val="TableParagraph"/>
              <w:tabs>
                <w:tab w:val="clear" w:pos="720"/>
                <w:tab w:val="left" w:pos="467" w:leader="none"/>
              </w:tabs>
              <w:spacing w:lineRule="auto" w:line="268" w:before="243" w:after="0"/>
              <w:ind w:left="154" w:right="152" w:hanging="0"/>
              <w:jc w:val="both"/>
              <w:rPr/>
            </w:pPr>
            <w:r>
              <w:rPr/>
              <w:t>Summary of Competencies</w:t>
            </w:r>
          </w:p>
          <w:p>
            <w:pPr>
              <w:pStyle w:val="TableParagraph"/>
              <w:tabs>
                <w:tab w:val="clear" w:pos="720"/>
                <w:tab w:val="left" w:pos="467" w:leader="none"/>
              </w:tabs>
              <w:spacing w:lineRule="auto" w:line="268" w:before="243" w:after="0"/>
              <w:ind w:left="154" w:right="152" w:hanging="0"/>
              <w:jc w:val="both"/>
              <w:rPr>
                <w:b/>
                <w:b/>
                <w:bCs/>
                <w:lang w:val="en-GB"/>
              </w:rPr>
            </w:pPr>
            <w:r>
              <w:rPr>
                <w:b/>
                <w:bCs/>
                <w:lang w:val="en-GB"/>
              </w:rPr>
              <w:t>Senior Procurement Manager</w:t>
            </w:r>
          </w:p>
          <w:p>
            <w:pPr>
              <w:pStyle w:val="TableParagraph"/>
              <w:tabs>
                <w:tab w:val="clear" w:pos="720"/>
                <w:tab w:val="left" w:pos="467" w:leader="none"/>
              </w:tabs>
              <w:spacing w:lineRule="auto" w:line="268" w:before="243" w:after="0"/>
              <w:ind w:left="154" w:right="152" w:hanging="0"/>
              <w:jc w:val="both"/>
              <w:rPr/>
            </w:pPr>
            <w:r>
              <w:rPr>
                <w:b/>
                <w:bCs/>
                <w:lang w:val="en-GB"/>
              </w:rPr>
              <w:t>Qualifications</w:t>
            </w:r>
            <w:r>
              <w:rPr>
                <w:lang w:val="en-GB"/>
              </w:rPr>
              <w:t>: MCIPS or equivalent professional standing</w:t>
            </w:r>
          </w:p>
          <w:p>
            <w:pPr>
              <w:pStyle w:val="TableParagraph"/>
              <w:tabs>
                <w:tab w:val="clear" w:pos="720"/>
                <w:tab w:val="left" w:pos="467" w:leader="none"/>
              </w:tabs>
              <w:spacing w:lineRule="auto" w:line="268" w:before="243" w:after="0"/>
              <w:ind w:left="154" w:right="152" w:hanging="0"/>
              <w:jc w:val="both"/>
              <w:rPr/>
            </w:pPr>
            <w:r>
              <w:rPr>
                <w:b/>
                <w:bCs/>
                <w:lang w:val="en-GB"/>
              </w:rPr>
              <w:t>Experience</w:t>
            </w:r>
            <w:r>
              <w:rPr>
                <w:lang w:val="en-GB"/>
              </w:rPr>
              <w:t>: Significant experience delivering strategic and complex procurements</w:t>
            </w:r>
          </w:p>
          <w:p>
            <w:pPr>
              <w:pStyle w:val="TableParagraph"/>
              <w:tabs>
                <w:tab w:val="clear" w:pos="720"/>
                <w:tab w:val="left" w:pos="467" w:leader="none"/>
              </w:tabs>
              <w:spacing w:lineRule="auto" w:line="268" w:before="243" w:after="0"/>
              <w:ind w:left="154" w:right="152" w:hanging="0"/>
              <w:jc w:val="both"/>
              <w:rPr/>
            </w:pPr>
            <w:r>
              <w:rPr>
                <w:b/>
                <w:bCs/>
                <w:lang w:val="en-GB"/>
              </w:rPr>
              <w:t>Financial influence</w:t>
            </w:r>
            <w:r>
              <w:rPr>
                <w:lang w:val="en-GB"/>
              </w:rPr>
              <w:t>: Leads high-value or cross-council spend portfolios and strategic sourcing</w:t>
            </w:r>
          </w:p>
          <w:p>
            <w:pPr>
              <w:pStyle w:val="TableParagraph"/>
              <w:tabs>
                <w:tab w:val="clear" w:pos="720"/>
                <w:tab w:val="left" w:pos="467" w:leader="none"/>
              </w:tabs>
              <w:spacing w:lineRule="auto" w:line="268" w:before="243" w:after="0"/>
              <w:ind w:left="154" w:right="152" w:hanging="0"/>
              <w:jc w:val="both"/>
              <w:rPr/>
            </w:pPr>
            <w:r>
              <w:rPr>
                <w:b/>
                <w:bCs/>
                <w:lang w:val="en-GB"/>
              </w:rPr>
              <w:t>Complexity</w:t>
            </w:r>
            <w:r>
              <w:rPr>
                <w:lang w:val="en-GB"/>
              </w:rPr>
              <w:t>: High risk, politically sensitive, transformational programmes</w:t>
            </w:r>
          </w:p>
          <w:p>
            <w:pPr>
              <w:pStyle w:val="TableParagraph"/>
              <w:tabs>
                <w:tab w:val="clear" w:pos="720"/>
                <w:tab w:val="left" w:pos="467" w:leader="none"/>
              </w:tabs>
              <w:spacing w:lineRule="auto" w:line="268" w:before="243" w:after="0"/>
              <w:ind w:left="154" w:right="152" w:hanging="0"/>
              <w:jc w:val="both"/>
              <w:rPr/>
            </w:pPr>
            <w:r>
              <w:rPr>
                <w:b/>
                <w:bCs/>
                <w:lang w:val="en-GB"/>
              </w:rPr>
              <w:t>Stakeholder engagement</w:t>
            </w:r>
            <w:r>
              <w:rPr>
                <w:lang w:val="en-GB"/>
              </w:rPr>
              <w:t>: Directors, Assistant Directors and corporate boards</w:t>
            </w:r>
          </w:p>
          <w:p>
            <w:pPr>
              <w:pStyle w:val="TableParagraph"/>
              <w:tabs>
                <w:tab w:val="clear" w:pos="720"/>
                <w:tab w:val="left" w:pos="467" w:leader="none"/>
              </w:tabs>
              <w:spacing w:lineRule="auto" w:line="268" w:before="243" w:after="0"/>
              <w:ind w:left="154" w:right="152" w:hanging="0"/>
              <w:jc w:val="both"/>
              <w:rPr/>
            </w:pPr>
            <w:r>
              <w:rPr>
                <w:b/>
                <w:bCs/>
                <w:lang w:val="en-GB"/>
              </w:rPr>
              <w:t>Leadership</w:t>
            </w:r>
            <w:r>
              <w:rPr>
                <w:lang w:val="en-GB"/>
              </w:rPr>
              <w:t>: Leads and mentors professionals, deputises for Head of Procurement</w:t>
            </w:r>
          </w:p>
          <w:p>
            <w:pPr>
              <w:pStyle w:val="TableParagraph"/>
              <w:tabs>
                <w:tab w:val="clear" w:pos="720"/>
                <w:tab w:val="left" w:pos="467" w:leader="none"/>
              </w:tabs>
              <w:spacing w:lineRule="auto" w:line="268" w:before="243" w:after="0"/>
              <w:ind w:left="154" w:right="152" w:hanging="0"/>
              <w:jc w:val="both"/>
              <w:rPr/>
            </w:pPr>
            <w:r>
              <w:rPr>
                <w:b/>
                <w:bCs/>
                <w:lang w:val="en-GB"/>
              </w:rPr>
              <w:t>Autonomy</w:t>
            </w:r>
            <w:r>
              <w:rPr>
                <w:lang w:val="en-GB"/>
              </w:rPr>
              <w:t>: Operates independently, sets direction and strategy</w:t>
            </w:r>
          </w:p>
          <w:p>
            <w:pPr>
              <w:pStyle w:val="TableParagraph"/>
              <w:tabs>
                <w:tab w:val="clear" w:pos="720"/>
                <w:tab w:val="left" w:pos="467" w:leader="none"/>
              </w:tabs>
              <w:spacing w:lineRule="auto" w:line="268" w:before="243" w:after="0"/>
              <w:ind w:left="154" w:right="152" w:hanging="0"/>
              <w:jc w:val="both"/>
              <w:rPr/>
            </w:pPr>
            <w:r>
              <w:rPr>
                <w:b/>
                <w:bCs/>
                <w:lang w:val="en-GB"/>
              </w:rPr>
              <w:t>Technical focus</w:t>
            </w:r>
            <w:r>
              <w:rPr>
                <w:lang w:val="en-GB"/>
              </w:rPr>
              <w:t>: Category strategy, negotiation, market shaping, commercial leadership</w:t>
            </w:r>
          </w:p>
          <w:p>
            <w:pPr>
              <w:pStyle w:val="TableParagraph"/>
              <w:tabs>
                <w:tab w:val="clear" w:pos="720"/>
                <w:tab w:val="left" w:pos="467" w:leader="none"/>
              </w:tabs>
              <w:spacing w:lineRule="auto" w:line="268" w:before="243" w:after="0"/>
              <w:ind w:left="154" w:right="152" w:hanging="0"/>
              <w:jc w:val="both"/>
              <w:rPr/>
            </w:pPr>
            <w:r>
              <w:rPr>
                <w:b/>
                <w:bCs/>
                <w:lang w:val="en-GB"/>
              </w:rPr>
              <w:t>Impact</w:t>
            </w:r>
            <w:r>
              <w:rPr>
                <w:lang w:val="en-GB"/>
              </w:rPr>
              <w:t>: Delivers corporate savings, transformation and policy influence</w:t>
            </w:r>
          </w:p>
          <w:p>
            <w:pPr>
              <w:pStyle w:val="TableParagraph"/>
              <w:tabs>
                <w:tab w:val="clear" w:pos="720"/>
                <w:tab w:val="left" w:pos="467" w:leader="none"/>
              </w:tabs>
              <w:spacing w:lineRule="auto" w:line="268" w:before="243" w:after="0"/>
              <w:ind w:left="154" w:right="152" w:hanging="0"/>
              <w:jc w:val="both"/>
              <w:rPr/>
            </w:pPr>
            <w:r>
              <w:rPr/>
            </w:r>
          </w:p>
        </w:tc>
      </w:tr>
      <w:tr>
        <w:trPr>
          <w:trHeight w:val="3003" w:hRule="atLeast"/>
        </w:trPr>
        <w:tc>
          <w:tcPr>
            <w:tcW w:w="10698" w:type="dxa"/>
            <w:gridSpan w:val="3"/>
            <w:tcBorders>
              <w:top w:val="double" w:sz="6" w:space="0" w:color="000000"/>
              <w:left w:val="single" w:sz="6" w:space="0" w:color="000000"/>
              <w:bottom w:val="double" w:sz="6" w:space="0" w:color="000000"/>
              <w:right w:val="single" w:sz="6" w:space="0" w:color="000000"/>
            </w:tcBorders>
            <w:shd w:fill="auto" w:val="clear"/>
          </w:tcPr>
          <w:p>
            <w:pPr>
              <w:pStyle w:val="TableParagraph"/>
              <w:spacing w:before="118" w:after="0"/>
              <w:ind w:left="92" w:right="0" w:hanging="0"/>
              <w:rPr/>
            </w:pPr>
            <w:r>
              <w:rPr/>
              <w:t>As an employee of Bury Council you should contribute to a culture</w:t>
            </w:r>
            <w:r>
              <w:rPr>
                <w:spacing w:val="-1"/>
              </w:rPr>
              <w:t xml:space="preserve"> </w:t>
            </w:r>
            <w:r>
              <w:rPr/>
              <w:t>that</w:t>
            </w:r>
            <w:r>
              <w:rPr>
                <w:spacing w:val="-3"/>
              </w:rPr>
              <w:t xml:space="preserve"> </w:t>
            </w:r>
            <w:r>
              <w:rPr/>
              <w:t>values</w:t>
            </w:r>
            <w:r>
              <w:rPr>
                <w:spacing w:val="-2"/>
              </w:rPr>
              <w:t xml:space="preserve"> </w:t>
            </w:r>
            <w:r>
              <w:rPr/>
              <w:t>and</w:t>
            </w:r>
            <w:r>
              <w:rPr>
                <w:spacing w:val="-3"/>
              </w:rPr>
              <w:t xml:space="preserve"> </w:t>
            </w:r>
            <w:r>
              <w:rPr/>
              <w:t>supports</w:t>
            </w:r>
            <w:r>
              <w:rPr>
                <w:spacing w:val="-2"/>
              </w:rPr>
              <w:t xml:space="preserve"> </w:t>
            </w:r>
            <w:r>
              <w:rPr/>
              <w:t>the</w:t>
            </w:r>
            <w:r>
              <w:rPr>
                <w:spacing w:val="-1"/>
              </w:rPr>
              <w:t xml:space="preserve"> </w:t>
            </w:r>
            <w:r>
              <w:rPr/>
              <w:t>physical</w:t>
            </w:r>
            <w:r>
              <w:rPr>
                <w:spacing w:val="-3"/>
              </w:rPr>
              <w:t xml:space="preserve"> </w:t>
            </w:r>
            <w:r>
              <w:rPr/>
              <w:t>and</w:t>
            </w:r>
            <w:r>
              <w:rPr>
                <w:spacing w:val="-3"/>
              </w:rPr>
              <w:t xml:space="preserve"> </w:t>
            </w:r>
            <w:r>
              <w:rPr/>
              <w:t>emotional</w:t>
            </w:r>
            <w:r>
              <w:rPr>
                <w:spacing w:val="-3"/>
              </w:rPr>
              <w:t xml:space="preserve"> </w:t>
            </w:r>
            <w:r>
              <w:rPr/>
              <w:t>wellbeing</w:t>
            </w:r>
            <w:r>
              <w:rPr>
                <w:spacing w:val="-3"/>
              </w:rPr>
              <w:t xml:space="preserve"> </w:t>
            </w:r>
            <w:r>
              <w:rPr/>
              <w:t>of</w:t>
            </w:r>
            <w:r>
              <w:rPr>
                <w:spacing w:val="-3"/>
              </w:rPr>
              <w:t xml:space="preserve"> </w:t>
            </w:r>
            <w:r>
              <w:rPr/>
              <w:t>your</w:t>
            </w:r>
            <w:r>
              <w:rPr>
                <w:spacing w:val="-3"/>
              </w:rPr>
              <w:t xml:space="preserve"> </w:t>
            </w:r>
            <w:r>
              <w:rPr/>
              <w:t>colleagues.</w:t>
            </w:r>
          </w:p>
          <w:p>
            <w:pPr>
              <w:pStyle w:val="TableParagraph"/>
              <w:spacing w:before="118" w:after="0"/>
              <w:ind w:left="92" w:right="0" w:hanging="0"/>
              <w:rPr/>
            </w:pPr>
            <w:r>
              <w:rPr/>
              <w:t>As an employee of Bury Council you have a responsibility for, and must be committed to, safeguarding and promoting the welfare of children, young people, and vulnerable adults and for ensuring that they are protected from harm.</w:t>
            </w:r>
          </w:p>
          <w:p>
            <w:pPr>
              <w:pStyle w:val="TableParagraph"/>
              <w:spacing w:before="118" w:after="0"/>
              <w:ind w:left="92" w:right="0" w:hanging="0"/>
              <w:rPr/>
            </w:pPr>
            <w:r>
              <w:rPr/>
              <w:t>Bury Council is committed to equality, diversity and inclusion, and expects all staff to comply with its equality-related policies and procedures and to treat others with fairness and respect.</w:t>
            </w:r>
          </w:p>
          <w:p>
            <w:pPr>
              <w:pStyle w:val="TableParagraph"/>
              <w:spacing w:before="118" w:after="0"/>
              <w:ind w:left="92" w:right="0" w:hanging="0"/>
              <w:rPr/>
            </w:pPr>
            <w:r>
              <w:rPr/>
              <w:t>The post holder is responsible for employee duties as specified within Corporate and Departmental Health and Safety policies.</w:t>
            </w:r>
          </w:p>
          <w:p>
            <w:pPr>
              <w:pStyle w:val="TableParagraph"/>
              <w:spacing w:before="118" w:after="0"/>
              <w:ind w:left="92" w:right="0" w:hanging="0"/>
              <w:rPr/>
            </w:pPr>
            <w:r>
              <w:rPr/>
              <w:t>Where</w:t>
            </w:r>
            <w:r>
              <w:rPr>
                <w:spacing w:val="-2"/>
              </w:rPr>
              <w:t xml:space="preserve"> </w:t>
            </w:r>
            <w:r>
              <w:rPr/>
              <w:t>an</w:t>
            </w:r>
            <w:r>
              <w:rPr>
                <w:spacing w:val="-4"/>
              </w:rPr>
              <w:t xml:space="preserve"> </w:t>
            </w:r>
            <w:r>
              <w:rPr/>
              <w:t>employee</w:t>
            </w:r>
            <w:r>
              <w:rPr>
                <w:spacing w:val="-3"/>
              </w:rPr>
              <w:t xml:space="preserve"> </w:t>
            </w:r>
            <w:r>
              <w:rPr/>
              <w:t>is</w:t>
            </w:r>
            <w:r>
              <w:rPr>
                <w:spacing w:val="-3"/>
              </w:rPr>
              <w:t xml:space="preserve"> </w:t>
            </w:r>
            <w:r>
              <w:rPr/>
              <w:t>asked</w:t>
            </w:r>
            <w:r>
              <w:rPr>
                <w:spacing w:val="-3"/>
              </w:rPr>
              <w:t xml:space="preserve"> </w:t>
            </w:r>
            <w:r>
              <w:rPr/>
              <w:t>to</w:t>
            </w:r>
            <w:r>
              <w:rPr>
                <w:spacing w:val="-3"/>
              </w:rPr>
              <w:t xml:space="preserve"> </w:t>
            </w:r>
            <w:r>
              <w:rPr/>
              <w:t>undertake</w:t>
            </w:r>
            <w:r>
              <w:rPr>
                <w:spacing w:val="-2"/>
              </w:rPr>
              <w:t xml:space="preserve"> </w:t>
            </w:r>
            <w:r>
              <w:rPr/>
              <w:t>duties</w:t>
            </w:r>
            <w:r>
              <w:rPr>
                <w:spacing w:val="-2"/>
              </w:rPr>
              <w:t xml:space="preserve"> </w:t>
            </w:r>
            <w:r>
              <w:rPr/>
              <w:t>other</w:t>
            </w:r>
            <w:r>
              <w:rPr>
                <w:spacing w:val="-3"/>
              </w:rPr>
              <w:t xml:space="preserve"> </w:t>
            </w:r>
            <w:r>
              <w:rPr/>
              <w:t>than</w:t>
            </w:r>
            <w:r>
              <w:rPr>
                <w:spacing w:val="-4"/>
              </w:rPr>
              <w:t xml:space="preserve"> </w:t>
            </w:r>
            <w:r>
              <w:rPr/>
              <w:t>those</w:t>
            </w:r>
            <w:r>
              <w:rPr>
                <w:spacing w:val="-2"/>
              </w:rPr>
              <w:t xml:space="preserve"> </w:t>
            </w:r>
            <w:r>
              <w:rPr/>
              <w:t>specified</w:t>
            </w:r>
            <w:r>
              <w:rPr>
                <w:spacing w:val="-3"/>
              </w:rPr>
              <w:t xml:space="preserve"> </w:t>
            </w:r>
            <w:r>
              <w:rPr/>
              <w:t>directly</w:t>
            </w:r>
            <w:r>
              <w:rPr>
                <w:spacing w:val="-4"/>
              </w:rPr>
              <w:t xml:space="preserve"> </w:t>
            </w:r>
            <w:r>
              <w:rPr/>
              <w:t>in</w:t>
            </w:r>
            <w:r>
              <w:rPr>
                <w:spacing w:val="-4"/>
              </w:rPr>
              <w:t xml:space="preserve"> </w:t>
            </w:r>
            <w:r>
              <w:rPr/>
              <w:t>his/her job description, such duties shall be discussed with the employee concerned who may have his/her Trade Union Representative present if so desired. (See paragraph 203 of supplemental Conditions of Service)</w:t>
            </w:r>
          </w:p>
          <w:p>
            <w:pPr>
              <w:pStyle w:val="TableParagraph"/>
              <w:spacing w:before="118" w:after="0"/>
              <w:ind w:left="92" w:right="0" w:hanging="0"/>
              <w:rPr>
                <w:b/>
                <w:b/>
                <w:spacing w:val="-2"/>
              </w:rPr>
            </w:pPr>
            <w:r>
              <w:rPr>
                <w:b/>
                <w:spacing w:val="-2"/>
              </w:rPr>
            </w:r>
          </w:p>
        </w:tc>
      </w:tr>
      <w:tr>
        <w:trPr>
          <w:trHeight w:val="547" w:hRule="atLeast"/>
        </w:trPr>
        <w:tc>
          <w:tcPr>
            <w:tcW w:w="4529" w:type="dxa"/>
            <w:tcBorders>
              <w:top w:val="double" w:sz="6" w:space="0" w:color="000000"/>
              <w:left w:val="single" w:sz="6" w:space="0" w:color="000000"/>
              <w:bottom w:val="double" w:sz="6" w:space="0" w:color="000000"/>
            </w:tcBorders>
            <w:shd w:fill="auto" w:val="clear"/>
          </w:tcPr>
          <w:p>
            <w:pPr>
              <w:pStyle w:val="TableParagraph"/>
              <w:spacing w:before="118" w:after="0"/>
              <w:ind w:left="0" w:right="0" w:hanging="0"/>
              <w:rPr/>
            </w:pPr>
            <w:r>
              <w:rPr>
                <w:rFonts w:eastAsia="Verdana" w:cs="Verdana"/>
                <w:b/>
              </w:rPr>
              <w:t xml:space="preserve">  </w:t>
            </w:r>
            <w:r>
              <w:rPr>
                <w:b/>
              </w:rPr>
              <w:t>Job</w:t>
            </w:r>
            <w:r>
              <w:rPr>
                <w:b/>
                <w:spacing w:val="-9"/>
              </w:rPr>
              <w:t xml:space="preserve"> </w:t>
            </w:r>
            <w:r>
              <w:rPr>
                <w:b/>
              </w:rPr>
              <w:t>Description</w:t>
            </w:r>
            <w:r>
              <w:rPr>
                <w:b/>
                <w:spacing w:val="-7"/>
              </w:rPr>
              <w:t xml:space="preserve"> </w:t>
            </w:r>
            <w:r>
              <w:rPr>
                <w:b/>
              </w:rPr>
              <w:t>prepared</w:t>
            </w:r>
            <w:r>
              <w:rPr>
                <w:b/>
                <w:spacing w:val="-6"/>
              </w:rPr>
              <w:t xml:space="preserve"> </w:t>
            </w:r>
            <w:r>
              <w:rPr>
                <w:b/>
                <w:spacing w:val="-5"/>
              </w:rPr>
              <w:t>by:</w:t>
            </w:r>
          </w:p>
        </w:tc>
        <w:tc>
          <w:tcPr>
            <w:tcW w:w="3508" w:type="dxa"/>
            <w:tcBorders>
              <w:top w:val="double" w:sz="6" w:space="0" w:color="000000"/>
              <w:left w:val="double" w:sz="6" w:space="0" w:color="000000"/>
              <w:bottom w:val="double" w:sz="6" w:space="0" w:color="000000"/>
            </w:tcBorders>
            <w:shd w:fill="auto" w:val="clear"/>
          </w:tcPr>
          <w:p>
            <w:pPr>
              <w:pStyle w:val="TableParagraph"/>
              <w:spacing w:before="118" w:after="0"/>
              <w:ind w:left="92" w:right="0" w:hanging="0"/>
              <w:rPr>
                <w:b/>
                <w:b/>
                <w:spacing w:val="-4"/>
              </w:rPr>
            </w:pPr>
            <w:r>
              <w:rPr>
                <w:b/>
                <w:spacing w:val="-4"/>
              </w:rPr>
              <w:t>Sign:</w:t>
            </w:r>
          </w:p>
        </w:tc>
        <w:tc>
          <w:tcPr>
            <w:tcW w:w="2661" w:type="dxa"/>
            <w:tcBorders>
              <w:top w:val="double" w:sz="6" w:space="0" w:color="000000"/>
              <w:left w:val="double" w:sz="6" w:space="0" w:color="000000"/>
              <w:bottom w:val="double" w:sz="6" w:space="0" w:color="000000"/>
              <w:right w:val="single" w:sz="6" w:space="0" w:color="000000"/>
            </w:tcBorders>
            <w:shd w:fill="auto" w:val="clear"/>
          </w:tcPr>
          <w:p>
            <w:pPr>
              <w:pStyle w:val="TableParagraph"/>
              <w:spacing w:before="118" w:after="0"/>
              <w:ind w:left="92" w:right="0" w:hanging="0"/>
              <w:rPr>
                <w:b/>
                <w:b/>
                <w:spacing w:val="-2"/>
              </w:rPr>
            </w:pPr>
            <w:r>
              <w:rPr>
                <w:b/>
                <w:spacing w:val="-2"/>
              </w:rPr>
              <w:t>Date:</w:t>
            </w:r>
          </w:p>
        </w:tc>
      </w:tr>
      <w:tr>
        <w:trPr>
          <w:trHeight w:val="545" w:hRule="atLeast"/>
        </w:trPr>
        <w:tc>
          <w:tcPr>
            <w:tcW w:w="4529" w:type="dxa"/>
            <w:tcBorders>
              <w:top w:val="double" w:sz="6" w:space="0" w:color="000000"/>
              <w:left w:val="single" w:sz="6" w:space="0" w:color="000000"/>
              <w:bottom w:val="double" w:sz="6" w:space="0" w:color="000000"/>
            </w:tcBorders>
            <w:shd w:fill="auto" w:val="clear"/>
          </w:tcPr>
          <w:p>
            <w:pPr>
              <w:pStyle w:val="TableParagraph"/>
              <w:spacing w:before="118" w:after="0"/>
              <w:rPr/>
            </w:pPr>
            <w:r>
              <w:rPr>
                <w:b/>
              </w:rPr>
              <w:t>Agreed</w:t>
            </w:r>
            <w:r>
              <w:rPr>
                <w:b/>
                <w:spacing w:val="-5"/>
              </w:rPr>
              <w:t xml:space="preserve"> </w:t>
            </w:r>
            <w:r>
              <w:rPr>
                <w:b/>
              </w:rPr>
              <w:t>correct</w:t>
            </w:r>
            <w:r>
              <w:rPr>
                <w:b/>
                <w:spacing w:val="-4"/>
              </w:rPr>
              <w:t xml:space="preserve"> </w:t>
            </w:r>
            <w:r>
              <w:rPr>
                <w:b/>
              </w:rPr>
              <w:t>by</w:t>
            </w:r>
            <w:r>
              <w:rPr>
                <w:b/>
                <w:spacing w:val="-3"/>
              </w:rPr>
              <w:t xml:space="preserve"> </w:t>
            </w:r>
            <w:r>
              <w:rPr>
                <w:b/>
                <w:spacing w:val="-2"/>
              </w:rPr>
              <w:t>Postholder:</w:t>
            </w:r>
          </w:p>
        </w:tc>
        <w:tc>
          <w:tcPr>
            <w:tcW w:w="3508" w:type="dxa"/>
            <w:tcBorders>
              <w:top w:val="double" w:sz="6" w:space="0" w:color="000000"/>
              <w:left w:val="double" w:sz="6" w:space="0" w:color="000000"/>
              <w:bottom w:val="double" w:sz="6" w:space="0" w:color="000000"/>
            </w:tcBorders>
            <w:shd w:fill="auto" w:val="clear"/>
          </w:tcPr>
          <w:p>
            <w:pPr>
              <w:pStyle w:val="TableParagraph"/>
              <w:spacing w:before="118" w:after="0"/>
              <w:ind w:left="92" w:right="0" w:hanging="0"/>
              <w:rPr>
                <w:b/>
                <w:b/>
                <w:spacing w:val="-4"/>
              </w:rPr>
            </w:pPr>
            <w:r>
              <w:rPr>
                <w:b/>
                <w:spacing w:val="-4"/>
              </w:rPr>
              <w:t>Sign:</w:t>
            </w:r>
          </w:p>
        </w:tc>
        <w:tc>
          <w:tcPr>
            <w:tcW w:w="2661" w:type="dxa"/>
            <w:tcBorders>
              <w:top w:val="double" w:sz="6" w:space="0" w:color="000000"/>
              <w:left w:val="double" w:sz="6" w:space="0" w:color="000000"/>
              <w:bottom w:val="double" w:sz="6" w:space="0" w:color="000000"/>
              <w:right w:val="single" w:sz="6" w:space="0" w:color="000000"/>
            </w:tcBorders>
            <w:shd w:fill="auto" w:val="clear"/>
          </w:tcPr>
          <w:p>
            <w:pPr>
              <w:pStyle w:val="TableParagraph"/>
              <w:spacing w:before="118" w:after="0"/>
              <w:ind w:left="92" w:right="0" w:hanging="0"/>
              <w:rPr>
                <w:b/>
                <w:b/>
                <w:spacing w:val="-2"/>
              </w:rPr>
            </w:pPr>
            <w:r>
              <w:rPr>
                <w:b/>
                <w:spacing w:val="-2"/>
              </w:rPr>
              <w:t>Date:</w:t>
            </w:r>
          </w:p>
        </w:tc>
      </w:tr>
      <w:tr>
        <w:trPr>
          <w:trHeight w:val="858" w:hRule="atLeast"/>
        </w:trPr>
        <w:tc>
          <w:tcPr>
            <w:tcW w:w="4529" w:type="dxa"/>
            <w:tcBorders>
              <w:top w:val="double" w:sz="6" w:space="0" w:color="000000"/>
              <w:left w:val="single" w:sz="6" w:space="0" w:color="000000"/>
              <w:bottom w:val="double" w:sz="6" w:space="0" w:color="000000"/>
            </w:tcBorders>
            <w:shd w:fill="auto" w:val="clear"/>
          </w:tcPr>
          <w:p>
            <w:pPr>
              <w:pStyle w:val="TableParagraph"/>
              <w:spacing w:lineRule="auto" w:line="276" w:before="121" w:after="0"/>
              <w:rPr/>
            </w:pPr>
            <w:r>
              <w:rPr>
                <w:b/>
              </w:rPr>
              <w:t xml:space="preserve">Agreed correct by </w:t>
            </w:r>
            <w:r>
              <w:rPr>
                <w:b/>
                <w:spacing w:val="-2"/>
              </w:rPr>
              <w:t>Supervisor/Manager:</w:t>
            </w:r>
          </w:p>
        </w:tc>
        <w:tc>
          <w:tcPr>
            <w:tcW w:w="3508" w:type="dxa"/>
            <w:tcBorders>
              <w:top w:val="double" w:sz="6" w:space="0" w:color="000000"/>
              <w:left w:val="double" w:sz="6" w:space="0" w:color="000000"/>
              <w:bottom w:val="double" w:sz="6" w:space="0" w:color="000000"/>
            </w:tcBorders>
            <w:shd w:fill="auto" w:val="clear"/>
          </w:tcPr>
          <w:p>
            <w:pPr>
              <w:pStyle w:val="TableParagraph"/>
              <w:spacing w:before="121" w:after="0"/>
              <w:ind w:left="92" w:right="0" w:hanging="0"/>
              <w:rPr>
                <w:b/>
                <w:b/>
                <w:spacing w:val="-4"/>
              </w:rPr>
            </w:pPr>
            <w:r>
              <w:rPr>
                <w:b/>
                <w:spacing w:val="-4"/>
              </w:rPr>
              <w:t>Sign:</w:t>
            </w:r>
          </w:p>
        </w:tc>
        <w:tc>
          <w:tcPr>
            <w:tcW w:w="2661" w:type="dxa"/>
            <w:tcBorders>
              <w:top w:val="double" w:sz="6" w:space="0" w:color="000000"/>
              <w:left w:val="double" w:sz="6" w:space="0" w:color="000000"/>
              <w:bottom w:val="double" w:sz="6" w:space="0" w:color="000000"/>
              <w:right w:val="single" w:sz="6" w:space="0" w:color="000000"/>
            </w:tcBorders>
            <w:shd w:fill="auto" w:val="clear"/>
          </w:tcPr>
          <w:p>
            <w:pPr>
              <w:pStyle w:val="TableParagraph"/>
              <w:spacing w:before="121" w:after="0"/>
              <w:ind w:left="92" w:right="0" w:hanging="0"/>
              <w:rPr>
                <w:b/>
                <w:b/>
                <w:spacing w:val="-2"/>
              </w:rPr>
            </w:pPr>
            <w:r>
              <w:rPr>
                <w:b/>
                <w:spacing w:val="-2"/>
              </w:rPr>
              <w:t>Date:</w:t>
            </w:r>
          </w:p>
        </w:tc>
      </w:tr>
    </w:tbl>
    <w:p>
      <w:pPr>
        <w:pStyle w:val="TableParagraph"/>
        <w:tabs>
          <w:tab w:val="clear" w:pos="720"/>
          <w:tab w:val="left" w:pos="4657" w:leader="none"/>
          <w:tab w:val="left" w:pos="8166" w:leader="none"/>
        </w:tabs>
        <w:spacing w:before="121" w:after="0"/>
        <w:ind w:left="127" w:right="0" w:hanging="0"/>
        <w:rPr/>
      </w:pPr>
      <w:r>
        <w:rPr>
          <w:b/>
        </w:rPr>
        <w:tab/>
      </w:r>
      <w:r>
        <w:rPr>
          <w:b/>
          <w:spacing w:val="-4"/>
        </w:rPr>
        <w:tab/>
      </w:r>
    </w:p>
    <w:p>
      <w:pPr>
        <w:pStyle w:val="Normal"/>
        <w:rPr/>
      </w:pPr>
      <w:r>
        <w:rPr/>
      </w:r>
    </w:p>
    <w:p>
      <w:pPr>
        <w:pStyle w:val="Normal"/>
        <w:ind w:left="142" w:right="0" w:hanging="0"/>
        <w:rPr>
          <w:b/>
          <w:b/>
          <w:bCs/>
          <w:lang w:val="en-GB"/>
        </w:rPr>
      </w:pPr>
      <w:r>
        <w:rPr>
          <w:b/>
          <w:bCs/>
          <w:lang w:val="en-GB"/>
        </w:rPr>
        <w:t>Category Manager – Personal Specification for Shortlisting &amp; Assessment</w:t>
      </w:r>
    </w:p>
    <w:p>
      <w:pPr>
        <w:pStyle w:val="Normal"/>
        <w:rPr>
          <w:lang w:val="en-GB"/>
        </w:rPr>
      </w:pPr>
      <w:r>
        <w:rPr>
          <w:lang w:val="en-GB"/>
        </w:rPr>
      </w:r>
    </w:p>
    <w:tbl>
      <w:tblPr>
        <w:tblW w:w="10081" w:type="dxa"/>
        <w:jc w:val="left"/>
        <w:tblInd w:w="103" w:type="dxa"/>
        <w:tblCellMar>
          <w:top w:w="0" w:type="dxa"/>
          <w:left w:w="108" w:type="dxa"/>
          <w:bottom w:w="0" w:type="dxa"/>
          <w:right w:w="108" w:type="dxa"/>
        </w:tblCellMar>
      </w:tblPr>
      <w:tblGrid>
        <w:gridCol w:w="6346"/>
        <w:gridCol w:w="1833"/>
        <w:gridCol w:w="1902"/>
      </w:tblGrid>
      <w:tr>
        <w:trPr>
          <w:trHeight w:val="455" w:hRule="atLeast"/>
        </w:trPr>
        <w:tc>
          <w:tcPr>
            <w:tcW w:w="6346" w:type="dxa"/>
            <w:tcBorders>
              <w:top w:val="single" w:sz="4" w:space="0" w:color="000000"/>
              <w:left w:val="single" w:sz="4" w:space="0" w:color="000000"/>
              <w:bottom w:val="single" w:sz="4" w:space="0" w:color="000000"/>
            </w:tcBorders>
            <w:shd w:fill="auto" w:val="clear"/>
          </w:tcPr>
          <w:p>
            <w:pPr>
              <w:pStyle w:val="Normal"/>
              <w:rPr>
                <w:b/>
                <w:b/>
                <w:lang w:val="en-GB"/>
              </w:rPr>
            </w:pPr>
            <w:r>
              <w:rPr>
                <w:b/>
                <w:lang w:val="en-GB"/>
              </w:rPr>
              <w:t>SHORT LISTING CRITERIA</w:t>
            </w:r>
          </w:p>
        </w:tc>
        <w:tc>
          <w:tcPr>
            <w:tcW w:w="1833" w:type="dxa"/>
            <w:tcBorders>
              <w:top w:val="single" w:sz="4" w:space="0" w:color="000000"/>
              <w:left w:val="single" w:sz="4" w:space="0" w:color="000000"/>
              <w:bottom w:val="single" w:sz="4" w:space="0" w:color="000000"/>
            </w:tcBorders>
            <w:shd w:fill="auto" w:val="clear"/>
          </w:tcPr>
          <w:p>
            <w:pPr>
              <w:pStyle w:val="Normal"/>
              <w:rPr>
                <w:b/>
                <w:b/>
                <w:lang w:val="en-GB"/>
              </w:rPr>
            </w:pPr>
            <w:r>
              <w:rPr>
                <w:b/>
                <w:lang w:val="en-GB"/>
              </w:rPr>
              <w:t>ESSENTIAL</w:t>
            </w:r>
          </w:p>
        </w:tc>
        <w:tc>
          <w:tcPr>
            <w:tcW w:w="1902" w:type="dxa"/>
            <w:tcBorders>
              <w:top w:val="single" w:sz="4" w:space="0" w:color="000000"/>
              <w:left w:val="single" w:sz="4" w:space="0" w:color="000000"/>
              <w:bottom w:val="single" w:sz="4" w:space="0" w:color="000000"/>
              <w:right w:val="single" w:sz="4" w:space="0" w:color="000000"/>
            </w:tcBorders>
            <w:shd w:fill="auto" w:val="clear"/>
          </w:tcPr>
          <w:p>
            <w:pPr>
              <w:pStyle w:val="Normal"/>
              <w:rPr>
                <w:b/>
                <w:b/>
                <w:lang w:val="en-GB"/>
              </w:rPr>
            </w:pPr>
            <w:r>
              <w:rPr>
                <w:b/>
                <w:lang w:val="en-GB"/>
              </w:rPr>
              <w:t>DESIRABLE</w:t>
            </w:r>
          </w:p>
        </w:tc>
      </w:tr>
      <w:tr>
        <w:trPr>
          <w:trHeight w:val="729" w:hRule="atLeast"/>
        </w:trPr>
        <w:tc>
          <w:tcPr>
            <w:tcW w:w="6346" w:type="dxa"/>
            <w:tcBorders>
              <w:top w:val="single" w:sz="4" w:space="0" w:color="000000"/>
              <w:left w:val="single" w:sz="4" w:space="0" w:color="000000"/>
              <w:bottom w:val="single" w:sz="4" w:space="0" w:color="000000"/>
            </w:tcBorders>
            <w:shd w:fill="auto" w:val="clear"/>
          </w:tcPr>
          <w:p>
            <w:pPr>
              <w:pStyle w:val="Normal"/>
              <w:rPr>
                <w:lang w:val="en-GB"/>
              </w:rPr>
            </w:pPr>
            <w:r>
              <w:rPr>
                <w:lang w:val="en-GB"/>
              </w:rPr>
              <w:t>Professional procurement qualification (MCIPS) or demonstrable progress towards completion.</w:t>
            </w:r>
          </w:p>
        </w:tc>
        <w:tc>
          <w:tcPr>
            <w:tcW w:w="1833" w:type="dxa"/>
            <w:tcBorders>
              <w:top w:val="single" w:sz="4" w:space="0" w:color="000000"/>
              <w:left w:val="single" w:sz="4" w:space="0" w:color="000000"/>
              <w:bottom w:val="single" w:sz="4" w:space="0" w:color="000000"/>
            </w:tcBorders>
            <w:shd w:fill="auto" w:val="clear"/>
            <w:vAlign w:val="center"/>
          </w:tcPr>
          <w:p>
            <w:pPr>
              <w:pStyle w:val="Normal"/>
              <w:jc w:val="center"/>
              <w:rPr>
                <w:rFonts w:ascii="Apple Color Emoji" w:hAnsi="Apple Color Emoji" w:cs="Apple Color Emoji"/>
                <w:lang w:val="en-GB"/>
              </w:rPr>
            </w:pPr>
            <w:r>
              <w:rPr>
                <w:rFonts w:cs="Apple Color Emoji" w:ascii="Apple Color Emoji" w:hAnsi="Apple Color Emoji"/>
                <w:lang w:val="en-GB"/>
              </w:rPr>
              <w:t>✔️</w:t>
            </w:r>
          </w:p>
        </w:tc>
        <w:tc>
          <w:tcPr>
            <w:tcW w:w="190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jc w:val="center"/>
              <w:rPr>
                <w:lang w:val="en-GB"/>
              </w:rPr>
            </w:pPr>
            <w:r>
              <w:rPr>
                <w:lang w:val="en-GB"/>
              </w:rPr>
            </w:r>
          </w:p>
        </w:tc>
      </w:tr>
      <w:tr>
        <w:trPr>
          <w:trHeight w:val="1017" w:hRule="atLeast"/>
        </w:trPr>
        <w:tc>
          <w:tcPr>
            <w:tcW w:w="6346" w:type="dxa"/>
            <w:tcBorders>
              <w:top w:val="single" w:sz="4" w:space="0" w:color="000000"/>
              <w:left w:val="single" w:sz="4" w:space="0" w:color="000000"/>
              <w:bottom w:val="single" w:sz="4" w:space="0" w:color="000000"/>
            </w:tcBorders>
            <w:shd w:fill="auto" w:val="clear"/>
          </w:tcPr>
          <w:p>
            <w:pPr>
              <w:pStyle w:val="Normal"/>
              <w:rPr>
                <w:lang w:val="en-GB"/>
              </w:rPr>
            </w:pPr>
            <w:r>
              <w:rPr>
                <w:lang w:val="en-GB"/>
              </w:rPr>
              <w:t>Relevant experience delivering public sector or regulated procurement activity.</w:t>
            </w:r>
          </w:p>
        </w:tc>
        <w:tc>
          <w:tcPr>
            <w:tcW w:w="1833" w:type="dxa"/>
            <w:tcBorders>
              <w:top w:val="single" w:sz="4" w:space="0" w:color="000000"/>
              <w:left w:val="single" w:sz="4" w:space="0" w:color="000000"/>
              <w:bottom w:val="single" w:sz="4" w:space="0" w:color="000000"/>
            </w:tcBorders>
            <w:shd w:fill="auto" w:val="clear"/>
            <w:vAlign w:val="center"/>
          </w:tcPr>
          <w:p>
            <w:pPr>
              <w:pStyle w:val="Normal"/>
              <w:jc w:val="center"/>
              <w:rPr>
                <w:rFonts w:ascii="Apple Color Emoji" w:hAnsi="Apple Color Emoji" w:cs="Apple Color Emoji"/>
                <w:lang w:val="en-GB"/>
              </w:rPr>
            </w:pPr>
            <w:r>
              <w:rPr>
                <w:rFonts w:cs="Apple Color Emoji" w:ascii="Apple Color Emoji" w:hAnsi="Apple Color Emoji"/>
                <w:lang w:val="en-GB"/>
              </w:rPr>
              <w:t>✔️</w:t>
            </w:r>
          </w:p>
        </w:tc>
        <w:tc>
          <w:tcPr>
            <w:tcW w:w="190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jc w:val="center"/>
              <w:rPr>
                <w:lang w:val="en-GB"/>
              </w:rPr>
            </w:pPr>
            <w:r>
              <w:rPr>
                <w:lang w:val="en-GB"/>
              </w:rPr>
            </w:r>
          </w:p>
        </w:tc>
      </w:tr>
      <w:tr>
        <w:trPr>
          <w:trHeight w:val="1002" w:hRule="atLeast"/>
        </w:trPr>
        <w:tc>
          <w:tcPr>
            <w:tcW w:w="6346" w:type="dxa"/>
            <w:tcBorders>
              <w:top w:val="single" w:sz="4" w:space="0" w:color="000000"/>
              <w:left w:val="single" w:sz="4" w:space="0" w:color="000000"/>
              <w:bottom w:val="single" w:sz="4" w:space="0" w:color="000000"/>
            </w:tcBorders>
            <w:shd w:fill="auto" w:val="clear"/>
          </w:tcPr>
          <w:p>
            <w:pPr>
              <w:pStyle w:val="Normal"/>
              <w:rPr>
                <w:lang w:val="en-GB"/>
              </w:rPr>
            </w:pPr>
            <w:r>
              <w:rPr>
                <w:lang w:val="en-GB"/>
              </w:rPr>
              <w:t>Experience managing procurement exercises across goods, services or works categories.</w:t>
            </w:r>
          </w:p>
        </w:tc>
        <w:tc>
          <w:tcPr>
            <w:tcW w:w="1833" w:type="dxa"/>
            <w:tcBorders>
              <w:top w:val="single" w:sz="4" w:space="0" w:color="000000"/>
              <w:left w:val="single" w:sz="4" w:space="0" w:color="000000"/>
              <w:bottom w:val="single" w:sz="4" w:space="0" w:color="000000"/>
            </w:tcBorders>
            <w:shd w:fill="auto" w:val="clear"/>
            <w:vAlign w:val="center"/>
          </w:tcPr>
          <w:p>
            <w:pPr>
              <w:pStyle w:val="Normal"/>
              <w:jc w:val="center"/>
              <w:rPr>
                <w:rFonts w:ascii="Apple Color Emoji" w:hAnsi="Apple Color Emoji" w:cs="Apple Color Emoji"/>
                <w:lang w:val="en-GB"/>
              </w:rPr>
            </w:pPr>
            <w:r>
              <w:rPr>
                <w:rFonts w:cs="Apple Color Emoji" w:ascii="Apple Color Emoji" w:hAnsi="Apple Color Emoji"/>
                <w:lang w:val="en-GB"/>
              </w:rPr>
              <w:t>✔️</w:t>
            </w:r>
          </w:p>
        </w:tc>
        <w:tc>
          <w:tcPr>
            <w:tcW w:w="190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jc w:val="center"/>
              <w:rPr>
                <w:lang w:val="en-GB"/>
              </w:rPr>
            </w:pPr>
            <w:r>
              <w:rPr>
                <w:lang w:val="en-GB"/>
              </w:rPr>
            </w:r>
          </w:p>
        </w:tc>
      </w:tr>
      <w:tr>
        <w:trPr>
          <w:trHeight w:val="743" w:hRule="atLeast"/>
        </w:trPr>
        <w:tc>
          <w:tcPr>
            <w:tcW w:w="6346" w:type="dxa"/>
            <w:tcBorders>
              <w:top w:val="single" w:sz="4" w:space="0" w:color="000000"/>
              <w:left w:val="single" w:sz="4" w:space="0" w:color="000000"/>
              <w:bottom w:val="single" w:sz="4" w:space="0" w:color="000000"/>
            </w:tcBorders>
            <w:shd w:fill="auto" w:val="clear"/>
          </w:tcPr>
          <w:p>
            <w:pPr>
              <w:pStyle w:val="Normal"/>
              <w:rPr>
                <w:lang w:val="en-GB"/>
              </w:rPr>
            </w:pPr>
            <w:r>
              <w:rPr>
                <w:lang w:val="en-GB"/>
              </w:rPr>
              <w:t>Demonstrable experience developing category plans or procurement pipelines.</w:t>
            </w:r>
          </w:p>
        </w:tc>
        <w:tc>
          <w:tcPr>
            <w:tcW w:w="1833" w:type="dxa"/>
            <w:tcBorders>
              <w:top w:val="single" w:sz="4" w:space="0" w:color="000000"/>
              <w:left w:val="single" w:sz="4" w:space="0" w:color="000000"/>
              <w:bottom w:val="single" w:sz="4" w:space="0" w:color="000000"/>
            </w:tcBorders>
            <w:shd w:fill="auto" w:val="clear"/>
            <w:vAlign w:val="center"/>
          </w:tcPr>
          <w:p>
            <w:pPr>
              <w:pStyle w:val="Normal"/>
              <w:jc w:val="center"/>
              <w:rPr>
                <w:rFonts w:ascii="Apple Color Emoji" w:hAnsi="Apple Color Emoji" w:cs="Apple Color Emoji"/>
                <w:lang w:val="en-GB"/>
              </w:rPr>
            </w:pPr>
            <w:r>
              <w:rPr>
                <w:rFonts w:cs="Apple Color Emoji" w:ascii="Apple Color Emoji" w:hAnsi="Apple Color Emoji"/>
                <w:lang w:val="en-GB"/>
              </w:rPr>
              <w:t>✔️</w:t>
            </w:r>
          </w:p>
        </w:tc>
        <w:tc>
          <w:tcPr>
            <w:tcW w:w="190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jc w:val="center"/>
              <w:rPr>
                <w:lang w:val="en-GB"/>
              </w:rPr>
            </w:pPr>
            <w:r>
              <w:rPr>
                <w:lang w:val="en-GB"/>
              </w:rPr>
            </w:r>
          </w:p>
        </w:tc>
      </w:tr>
      <w:tr>
        <w:trPr>
          <w:trHeight w:val="729" w:hRule="atLeast"/>
        </w:trPr>
        <w:tc>
          <w:tcPr>
            <w:tcW w:w="6346" w:type="dxa"/>
            <w:tcBorders>
              <w:top w:val="single" w:sz="4" w:space="0" w:color="000000"/>
              <w:left w:val="single" w:sz="4" w:space="0" w:color="000000"/>
              <w:bottom w:val="single" w:sz="4" w:space="0" w:color="000000"/>
            </w:tcBorders>
            <w:shd w:fill="auto" w:val="clear"/>
          </w:tcPr>
          <w:p>
            <w:pPr>
              <w:pStyle w:val="Normal"/>
              <w:rPr>
                <w:lang w:val="en-GB"/>
              </w:rPr>
            </w:pPr>
            <w:r>
              <w:rPr>
                <w:lang w:val="en-GB"/>
              </w:rPr>
              <w:t>Strong knowledge of procurement legislation, governance and best practice.</w:t>
            </w:r>
          </w:p>
        </w:tc>
        <w:tc>
          <w:tcPr>
            <w:tcW w:w="1833" w:type="dxa"/>
            <w:tcBorders>
              <w:top w:val="single" w:sz="4" w:space="0" w:color="000000"/>
              <w:left w:val="single" w:sz="4" w:space="0" w:color="000000"/>
              <w:bottom w:val="single" w:sz="4" w:space="0" w:color="000000"/>
            </w:tcBorders>
            <w:shd w:fill="auto" w:val="clear"/>
            <w:vAlign w:val="center"/>
          </w:tcPr>
          <w:p>
            <w:pPr>
              <w:pStyle w:val="Normal"/>
              <w:jc w:val="center"/>
              <w:rPr>
                <w:rFonts w:ascii="Apple Color Emoji" w:hAnsi="Apple Color Emoji" w:cs="Apple Color Emoji"/>
                <w:lang w:val="en-GB"/>
              </w:rPr>
            </w:pPr>
            <w:r>
              <w:rPr>
                <w:rFonts w:cs="Apple Color Emoji" w:ascii="Apple Color Emoji" w:hAnsi="Apple Color Emoji"/>
                <w:lang w:val="en-GB"/>
              </w:rPr>
              <w:t>✔️</w:t>
            </w:r>
          </w:p>
        </w:tc>
        <w:tc>
          <w:tcPr>
            <w:tcW w:w="190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jc w:val="center"/>
              <w:rPr>
                <w:lang w:val="en-GB"/>
              </w:rPr>
            </w:pPr>
            <w:r>
              <w:rPr>
                <w:lang w:val="en-GB"/>
              </w:rPr>
            </w:r>
          </w:p>
        </w:tc>
      </w:tr>
      <w:tr>
        <w:trPr>
          <w:trHeight w:val="729" w:hRule="atLeast"/>
        </w:trPr>
        <w:tc>
          <w:tcPr>
            <w:tcW w:w="6346" w:type="dxa"/>
            <w:tcBorders>
              <w:top w:val="single" w:sz="4" w:space="0" w:color="000000"/>
              <w:left w:val="single" w:sz="4" w:space="0" w:color="000000"/>
              <w:bottom w:val="single" w:sz="4" w:space="0" w:color="000000"/>
            </w:tcBorders>
            <w:shd w:fill="auto" w:val="clear"/>
          </w:tcPr>
          <w:p>
            <w:pPr>
              <w:pStyle w:val="Normal"/>
              <w:rPr>
                <w:lang w:val="en-GB"/>
              </w:rPr>
            </w:pPr>
            <w:r>
              <w:rPr>
                <w:lang w:val="en-GB"/>
              </w:rPr>
              <w:t>Ability to manage multiple procurement exercises concurrently.</w:t>
            </w:r>
          </w:p>
        </w:tc>
        <w:tc>
          <w:tcPr>
            <w:tcW w:w="1833" w:type="dxa"/>
            <w:tcBorders>
              <w:top w:val="single" w:sz="4" w:space="0" w:color="000000"/>
              <w:left w:val="single" w:sz="4" w:space="0" w:color="000000"/>
              <w:bottom w:val="single" w:sz="4" w:space="0" w:color="000000"/>
            </w:tcBorders>
            <w:shd w:fill="auto" w:val="clear"/>
            <w:vAlign w:val="center"/>
          </w:tcPr>
          <w:p>
            <w:pPr>
              <w:pStyle w:val="Normal"/>
              <w:jc w:val="center"/>
              <w:rPr>
                <w:rFonts w:ascii="Apple Color Emoji" w:hAnsi="Apple Color Emoji" w:cs="Apple Color Emoji"/>
                <w:lang w:val="en-GB"/>
              </w:rPr>
            </w:pPr>
            <w:r>
              <w:rPr>
                <w:rFonts w:cs="Apple Color Emoji" w:ascii="Apple Color Emoji" w:hAnsi="Apple Color Emoji"/>
                <w:lang w:val="en-GB"/>
              </w:rPr>
              <w:t>✔️</w:t>
            </w:r>
          </w:p>
        </w:tc>
        <w:tc>
          <w:tcPr>
            <w:tcW w:w="190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jc w:val="center"/>
              <w:rPr>
                <w:lang w:val="en-GB"/>
              </w:rPr>
            </w:pPr>
            <w:r>
              <w:rPr>
                <w:lang w:val="en-GB"/>
              </w:rPr>
            </w:r>
          </w:p>
        </w:tc>
      </w:tr>
      <w:tr>
        <w:trPr>
          <w:trHeight w:val="743" w:hRule="atLeast"/>
        </w:trPr>
        <w:tc>
          <w:tcPr>
            <w:tcW w:w="6346" w:type="dxa"/>
            <w:tcBorders>
              <w:top w:val="single" w:sz="4" w:space="0" w:color="000000"/>
              <w:left w:val="single" w:sz="4" w:space="0" w:color="000000"/>
              <w:bottom w:val="single" w:sz="4" w:space="0" w:color="000000"/>
            </w:tcBorders>
            <w:shd w:fill="auto" w:val="clear"/>
          </w:tcPr>
          <w:p>
            <w:pPr>
              <w:pStyle w:val="Normal"/>
              <w:rPr>
                <w:lang w:val="en-GB"/>
              </w:rPr>
            </w:pPr>
            <w:r>
              <w:rPr>
                <w:lang w:val="en-GB"/>
              </w:rPr>
              <w:t>Strong stakeholder engagement and influencing skills.</w:t>
            </w:r>
          </w:p>
        </w:tc>
        <w:tc>
          <w:tcPr>
            <w:tcW w:w="1833" w:type="dxa"/>
            <w:tcBorders>
              <w:top w:val="single" w:sz="4" w:space="0" w:color="000000"/>
              <w:left w:val="single" w:sz="4" w:space="0" w:color="000000"/>
              <w:bottom w:val="single" w:sz="4" w:space="0" w:color="000000"/>
            </w:tcBorders>
            <w:shd w:fill="auto" w:val="clear"/>
            <w:vAlign w:val="center"/>
          </w:tcPr>
          <w:p>
            <w:pPr>
              <w:pStyle w:val="Normal"/>
              <w:jc w:val="center"/>
              <w:rPr>
                <w:rFonts w:ascii="Apple Color Emoji" w:hAnsi="Apple Color Emoji" w:cs="Apple Color Emoji"/>
                <w:lang w:val="en-GB"/>
              </w:rPr>
            </w:pPr>
            <w:r>
              <w:rPr>
                <w:rFonts w:cs="Apple Color Emoji" w:ascii="Apple Color Emoji" w:hAnsi="Apple Color Emoji"/>
                <w:lang w:val="en-GB"/>
              </w:rPr>
              <w:t>✔️</w:t>
            </w:r>
          </w:p>
        </w:tc>
        <w:tc>
          <w:tcPr>
            <w:tcW w:w="190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jc w:val="center"/>
              <w:rPr>
                <w:lang w:val="en-GB"/>
              </w:rPr>
            </w:pPr>
            <w:r>
              <w:rPr>
                <w:lang w:val="en-GB"/>
              </w:rPr>
            </w:r>
          </w:p>
        </w:tc>
      </w:tr>
      <w:tr>
        <w:trPr>
          <w:trHeight w:val="729" w:hRule="atLeast"/>
        </w:trPr>
        <w:tc>
          <w:tcPr>
            <w:tcW w:w="6346" w:type="dxa"/>
            <w:tcBorders>
              <w:top w:val="single" w:sz="4" w:space="0" w:color="000000"/>
              <w:left w:val="single" w:sz="4" w:space="0" w:color="000000"/>
              <w:bottom w:val="single" w:sz="4" w:space="0" w:color="000000"/>
            </w:tcBorders>
            <w:shd w:fill="auto" w:val="clear"/>
          </w:tcPr>
          <w:p>
            <w:pPr>
              <w:pStyle w:val="Normal"/>
              <w:rPr>
                <w:lang w:val="en-GB"/>
              </w:rPr>
            </w:pPr>
            <w:r>
              <w:rPr>
                <w:lang w:val="en-GB"/>
              </w:rPr>
              <w:t>Experience providing professional procurement advice to services or internal stakeholders.</w:t>
            </w:r>
          </w:p>
        </w:tc>
        <w:tc>
          <w:tcPr>
            <w:tcW w:w="1833" w:type="dxa"/>
            <w:tcBorders>
              <w:top w:val="single" w:sz="4" w:space="0" w:color="000000"/>
              <w:left w:val="single" w:sz="4" w:space="0" w:color="000000"/>
              <w:bottom w:val="single" w:sz="4" w:space="0" w:color="000000"/>
            </w:tcBorders>
            <w:shd w:fill="auto" w:val="clear"/>
            <w:vAlign w:val="center"/>
          </w:tcPr>
          <w:p>
            <w:pPr>
              <w:pStyle w:val="Normal"/>
              <w:jc w:val="center"/>
              <w:rPr>
                <w:rFonts w:ascii="Apple Color Emoji" w:hAnsi="Apple Color Emoji" w:cs="Apple Color Emoji"/>
                <w:lang w:val="en-GB"/>
              </w:rPr>
            </w:pPr>
            <w:r>
              <w:rPr>
                <w:rFonts w:cs="Apple Color Emoji" w:ascii="Apple Color Emoji" w:hAnsi="Apple Color Emoji"/>
                <w:lang w:val="en-GB"/>
              </w:rPr>
              <w:t>✔️</w:t>
            </w:r>
          </w:p>
        </w:tc>
        <w:tc>
          <w:tcPr>
            <w:tcW w:w="190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jc w:val="center"/>
              <w:rPr>
                <w:lang w:val="en-GB"/>
              </w:rPr>
            </w:pPr>
            <w:r>
              <w:rPr>
                <w:lang w:val="en-GB"/>
              </w:rPr>
            </w:r>
          </w:p>
        </w:tc>
      </w:tr>
      <w:tr>
        <w:trPr>
          <w:trHeight w:val="729" w:hRule="atLeast"/>
        </w:trPr>
        <w:tc>
          <w:tcPr>
            <w:tcW w:w="6346" w:type="dxa"/>
            <w:tcBorders>
              <w:top w:val="single" w:sz="4" w:space="0" w:color="000000"/>
              <w:left w:val="single" w:sz="4" w:space="0" w:color="000000"/>
              <w:bottom w:val="single" w:sz="4" w:space="0" w:color="000000"/>
            </w:tcBorders>
            <w:shd w:fill="auto" w:val="clear"/>
          </w:tcPr>
          <w:p>
            <w:pPr>
              <w:pStyle w:val="Normal"/>
              <w:rPr>
                <w:lang w:val="en-GB"/>
              </w:rPr>
            </w:pPr>
            <w:r>
              <w:rPr>
                <w:lang w:val="en-GB"/>
              </w:rPr>
              <w:t>Ability to analyse spend, markets and procurement options.</w:t>
            </w:r>
          </w:p>
        </w:tc>
        <w:tc>
          <w:tcPr>
            <w:tcW w:w="1833" w:type="dxa"/>
            <w:tcBorders>
              <w:top w:val="single" w:sz="4" w:space="0" w:color="000000"/>
              <w:left w:val="single" w:sz="4" w:space="0" w:color="000000"/>
              <w:bottom w:val="single" w:sz="4" w:space="0" w:color="000000"/>
            </w:tcBorders>
            <w:shd w:fill="auto" w:val="clear"/>
            <w:vAlign w:val="center"/>
          </w:tcPr>
          <w:p>
            <w:pPr>
              <w:pStyle w:val="Normal"/>
              <w:jc w:val="center"/>
              <w:rPr>
                <w:rFonts w:ascii="Apple Color Emoji" w:hAnsi="Apple Color Emoji" w:cs="Apple Color Emoji"/>
                <w:lang w:val="en-GB"/>
              </w:rPr>
            </w:pPr>
            <w:r>
              <w:rPr>
                <w:rFonts w:cs="Apple Color Emoji" w:ascii="Apple Color Emoji" w:hAnsi="Apple Color Emoji"/>
                <w:lang w:val="en-GB"/>
              </w:rPr>
              <w:t>✔️</w:t>
            </w:r>
          </w:p>
        </w:tc>
        <w:tc>
          <w:tcPr>
            <w:tcW w:w="190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jc w:val="center"/>
              <w:rPr>
                <w:lang w:val="en-GB"/>
              </w:rPr>
            </w:pPr>
            <w:r>
              <w:rPr>
                <w:lang w:val="en-GB"/>
              </w:rPr>
            </w:r>
          </w:p>
        </w:tc>
      </w:tr>
      <w:tr>
        <w:trPr>
          <w:trHeight w:val="729" w:hRule="atLeast"/>
        </w:trPr>
        <w:tc>
          <w:tcPr>
            <w:tcW w:w="6346" w:type="dxa"/>
            <w:tcBorders>
              <w:top w:val="single" w:sz="4" w:space="0" w:color="000000"/>
              <w:left w:val="single" w:sz="4" w:space="0" w:color="000000"/>
              <w:bottom w:val="single" w:sz="4" w:space="0" w:color="000000"/>
            </w:tcBorders>
            <w:shd w:fill="auto" w:val="clear"/>
          </w:tcPr>
          <w:p>
            <w:pPr>
              <w:pStyle w:val="Normal"/>
              <w:rPr>
                <w:lang w:val="en-GB"/>
              </w:rPr>
            </w:pPr>
            <w:r>
              <w:rPr>
                <w:lang w:val="en-GB"/>
              </w:rPr>
              <w:t>Strong organisational, planning and prioritisation skills.</w:t>
            </w:r>
          </w:p>
        </w:tc>
        <w:tc>
          <w:tcPr>
            <w:tcW w:w="1833" w:type="dxa"/>
            <w:tcBorders>
              <w:top w:val="single" w:sz="4" w:space="0" w:color="000000"/>
              <w:left w:val="single" w:sz="4" w:space="0" w:color="000000"/>
              <w:bottom w:val="single" w:sz="4" w:space="0" w:color="000000"/>
            </w:tcBorders>
            <w:shd w:fill="auto" w:val="clear"/>
            <w:vAlign w:val="center"/>
          </w:tcPr>
          <w:p>
            <w:pPr>
              <w:pStyle w:val="Normal"/>
              <w:jc w:val="center"/>
              <w:rPr>
                <w:rFonts w:ascii="Apple Color Emoji" w:hAnsi="Apple Color Emoji" w:cs="Apple Color Emoji"/>
                <w:lang w:val="en-GB"/>
              </w:rPr>
            </w:pPr>
            <w:r>
              <w:rPr>
                <w:rFonts w:cs="Apple Color Emoji" w:ascii="Apple Color Emoji" w:hAnsi="Apple Color Emoji"/>
                <w:lang w:val="en-GB"/>
              </w:rPr>
              <w:t>✔️</w:t>
            </w:r>
          </w:p>
        </w:tc>
        <w:tc>
          <w:tcPr>
            <w:tcW w:w="190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jc w:val="center"/>
              <w:rPr>
                <w:lang w:val="en-GB"/>
              </w:rPr>
            </w:pPr>
            <w:r>
              <w:rPr>
                <w:lang w:val="en-GB"/>
              </w:rPr>
            </w:r>
          </w:p>
        </w:tc>
      </w:tr>
      <w:tr>
        <w:trPr>
          <w:trHeight w:val="743" w:hRule="atLeast"/>
        </w:trPr>
        <w:tc>
          <w:tcPr>
            <w:tcW w:w="6346" w:type="dxa"/>
            <w:tcBorders>
              <w:top w:val="single" w:sz="4" w:space="0" w:color="000000"/>
              <w:left w:val="single" w:sz="4" w:space="0" w:color="000000"/>
              <w:bottom w:val="single" w:sz="4" w:space="0" w:color="000000"/>
            </w:tcBorders>
            <w:shd w:fill="auto" w:val="clear"/>
          </w:tcPr>
          <w:p>
            <w:pPr>
              <w:pStyle w:val="Normal"/>
              <w:rPr>
                <w:lang w:val="en-GB"/>
              </w:rPr>
            </w:pPr>
            <w:r>
              <w:rPr>
                <w:lang w:val="en-GB"/>
              </w:rPr>
              <w:t>Experience supporting or supervising procurement staff.</w:t>
            </w:r>
          </w:p>
        </w:tc>
        <w:tc>
          <w:tcPr>
            <w:tcW w:w="1833" w:type="dxa"/>
            <w:tcBorders>
              <w:top w:val="single" w:sz="4" w:space="0" w:color="000000"/>
              <w:left w:val="single" w:sz="4" w:space="0" w:color="000000"/>
              <w:bottom w:val="single" w:sz="4" w:space="0" w:color="000000"/>
            </w:tcBorders>
            <w:shd w:fill="auto" w:val="clear"/>
            <w:vAlign w:val="center"/>
          </w:tcPr>
          <w:p>
            <w:pPr>
              <w:pStyle w:val="Normal"/>
              <w:jc w:val="center"/>
              <w:rPr>
                <w:rFonts w:ascii="Apple Color Emoji" w:hAnsi="Apple Color Emoji" w:cs="Apple Color Emoji"/>
                <w:lang w:val="en-GB"/>
              </w:rPr>
            </w:pPr>
            <w:r>
              <w:rPr>
                <w:rFonts w:cs="Apple Color Emoji" w:ascii="Apple Color Emoji" w:hAnsi="Apple Color Emoji"/>
                <w:lang w:val="en-GB"/>
              </w:rPr>
              <w:t>✔️</w:t>
            </w:r>
          </w:p>
        </w:tc>
        <w:tc>
          <w:tcPr>
            <w:tcW w:w="190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jc w:val="center"/>
              <w:rPr>
                <w:lang w:val="en-GB"/>
              </w:rPr>
            </w:pPr>
            <w:r>
              <w:rPr>
                <w:lang w:val="en-GB"/>
              </w:rPr>
            </w:r>
          </w:p>
        </w:tc>
      </w:tr>
      <w:tr>
        <w:trPr>
          <w:trHeight w:val="729" w:hRule="atLeast"/>
        </w:trPr>
        <w:tc>
          <w:tcPr>
            <w:tcW w:w="6346" w:type="dxa"/>
            <w:tcBorders>
              <w:top w:val="single" w:sz="4" w:space="0" w:color="000000"/>
              <w:left w:val="single" w:sz="4" w:space="0" w:color="000000"/>
              <w:bottom w:val="single" w:sz="4" w:space="0" w:color="000000"/>
            </w:tcBorders>
            <w:shd w:fill="auto" w:val="clear"/>
          </w:tcPr>
          <w:p>
            <w:pPr>
              <w:pStyle w:val="Normal"/>
              <w:rPr>
                <w:lang w:val="en-GB"/>
              </w:rPr>
            </w:pPr>
            <w:r>
              <w:rPr>
                <w:lang w:val="en-GB"/>
              </w:rPr>
              <w:t>Ability to use procurement and financial systems.</w:t>
            </w:r>
          </w:p>
        </w:tc>
        <w:tc>
          <w:tcPr>
            <w:tcW w:w="1833" w:type="dxa"/>
            <w:tcBorders>
              <w:top w:val="single" w:sz="4" w:space="0" w:color="000000"/>
              <w:left w:val="single" w:sz="4" w:space="0" w:color="000000"/>
              <w:bottom w:val="single" w:sz="4" w:space="0" w:color="000000"/>
            </w:tcBorders>
            <w:shd w:fill="auto" w:val="clear"/>
            <w:vAlign w:val="center"/>
          </w:tcPr>
          <w:p>
            <w:pPr>
              <w:pStyle w:val="Normal"/>
              <w:jc w:val="center"/>
              <w:rPr>
                <w:rFonts w:ascii="Apple Color Emoji" w:hAnsi="Apple Color Emoji" w:cs="Apple Color Emoji"/>
                <w:lang w:val="en-GB"/>
              </w:rPr>
            </w:pPr>
            <w:r>
              <w:rPr>
                <w:rFonts w:cs="Apple Color Emoji" w:ascii="Apple Color Emoji" w:hAnsi="Apple Color Emoji"/>
                <w:lang w:val="en-GB"/>
              </w:rPr>
              <w:t>✔️</w:t>
            </w:r>
          </w:p>
        </w:tc>
        <w:tc>
          <w:tcPr>
            <w:tcW w:w="190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jc w:val="center"/>
              <w:rPr>
                <w:lang w:val="en-GB"/>
              </w:rPr>
            </w:pPr>
            <w:r>
              <w:rPr>
                <w:lang w:val="en-GB"/>
              </w:rPr>
            </w:r>
          </w:p>
        </w:tc>
      </w:tr>
      <w:tr>
        <w:trPr>
          <w:trHeight w:val="729" w:hRule="atLeast"/>
        </w:trPr>
        <w:tc>
          <w:tcPr>
            <w:tcW w:w="6346" w:type="dxa"/>
            <w:tcBorders>
              <w:top w:val="single" w:sz="4" w:space="0" w:color="000000"/>
              <w:left w:val="single" w:sz="4" w:space="0" w:color="000000"/>
              <w:bottom w:val="single" w:sz="4" w:space="0" w:color="000000"/>
            </w:tcBorders>
            <w:shd w:fill="auto" w:val="clear"/>
          </w:tcPr>
          <w:p>
            <w:pPr>
              <w:pStyle w:val="Normal"/>
              <w:rPr>
                <w:lang w:val="en-GB"/>
              </w:rPr>
            </w:pPr>
            <w:r>
              <w:rPr>
                <w:lang w:val="en-GB"/>
              </w:rPr>
              <w:t>Strong written and verbal communication skills.</w:t>
            </w:r>
          </w:p>
        </w:tc>
        <w:tc>
          <w:tcPr>
            <w:tcW w:w="1833" w:type="dxa"/>
            <w:tcBorders>
              <w:top w:val="single" w:sz="4" w:space="0" w:color="000000"/>
              <w:left w:val="single" w:sz="4" w:space="0" w:color="000000"/>
              <w:bottom w:val="single" w:sz="4" w:space="0" w:color="000000"/>
            </w:tcBorders>
            <w:shd w:fill="auto" w:val="clear"/>
            <w:vAlign w:val="center"/>
          </w:tcPr>
          <w:p>
            <w:pPr>
              <w:pStyle w:val="Normal"/>
              <w:jc w:val="center"/>
              <w:rPr>
                <w:rFonts w:ascii="Apple Color Emoji" w:hAnsi="Apple Color Emoji" w:cs="Apple Color Emoji"/>
                <w:lang w:val="en-GB"/>
              </w:rPr>
            </w:pPr>
            <w:r>
              <w:rPr>
                <w:rFonts w:cs="Apple Color Emoji" w:ascii="Apple Color Emoji" w:hAnsi="Apple Color Emoji"/>
                <w:lang w:val="en-GB"/>
              </w:rPr>
              <w:t>✔️</w:t>
            </w:r>
          </w:p>
        </w:tc>
        <w:tc>
          <w:tcPr>
            <w:tcW w:w="190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jc w:val="center"/>
              <w:rPr>
                <w:lang w:val="en-GB"/>
              </w:rPr>
            </w:pPr>
            <w:r>
              <w:rPr>
                <w:lang w:val="en-GB"/>
              </w:rPr>
            </w:r>
          </w:p>
        </w:tc>
      </w:tr>
      <w:tr>
        <w:trPr>
          <w:trHeight w:val="470" w:hRule="atLeast"/>
        </w:trPr>
        <w:tc>
          <w:tcPr>
            <w:tcW w:w="6346" w:type="dxa"/>
            <w:tcBorders>
              <w:top w:val="single" w:sz="4" w:space="0" w:color="000000"/>
              <w:left w:val="single" w:sz="4" w:space="0" w:color="000000"/>
              <w:bottom w:val="single" w:sz="4" w:space="0" w:color="000000"/>
            </w:tcBorders>
            <w:shd w:fill="auto" w:val="clear"/>
          </w:tcPr>
          <w:p>
            <w:pPr>
              <w:pStyle w:val="Normal"/>
              <w:rPr>
                <w:lang w:val="en-GB"/>
              </w:rPr>
            </w:pPr>
            <w:r>
              <w:rPr>
                <w:lang w:val="en-GB"/>
              </w:rPr>
              <w:t>Full MCIPS qualification.</w:t>
            </w:r>
          </w:p>
        </w:tc>
        <w:tc>
          <w:tcPr>
            <w:tcW w:w="1833" w:type="dxa"/>
            <w:tcBorders>
              <w:top w:val="single" w:sz="4" w:space="0" w:color="000000"/>
              <w:left w:val="single" w:sz="4" w:space="0" w:color="000000"/>
              <w:bottom w:val="single" w:sz="4" w:space="0" w:color="000000"/>
            </w:tcBorders>
            <w:shd w:fill="auto" w:val="clear"/>
            <w:vAlign w:val="center"/>
          </w:tcPr>
          <w:p>
            <w:pPr>
              <w:pStyle w:val="Normal"/>
              <w:snapToGrid w:val="false"/>
              <w:jc w:val="center"/>
              <w:rPr>
                <w:lang w:val="en-GB"/>
              </w:rPr>
            </w:pPr>
            <w:r>
              <w:rPr>
                <w:lang w:val="en-GB"/>
              </w:rPr>
            </w:r>
          </w:p>
        </w:tc>
        <w:tc>
          <w:tcPr>
            <w:tcW w:w="190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rFonts w:ascii="Apple Color Emoji" w:hAnsi="Apple Color Emoji" w:cs="Apple Color Emoji"/>
                <w:lang w:val="en-GB"/>
              </w:rPr>
            </w:pPr>
            <w:r>
              <w:rPr>
                <w:rFonts w:cs="Apple Color Emoji" w:ascii="Apple Color Emoji" w:hAnsi="Apple Color Emoji"/>
                <w:lang w:val="en-GB"/>
              </w:rPr>
              <w:t>✔️</w:t>
            </w:r>
          </w:p>
        </w:tc>
      </w:tr>
      <w:tr>
        <w:trPr>
          <w:trHeight w:val="743" w:hRule="atLeast"/>
        </w:trPr>
        <w:tc>
          <w:tcPr>
            <w:tcW w:w="6346" w:type="dxa"/>
            <w:tcBorders>
              <w:top w:val="single" w:sz="4" w:space="0" w:color="000000"/>
              <w:left w:val="single" w:sz="4" w:space="0" w:color="000000"/>
              <w:bottom w:val="single" w:sz="4" w:space="0" w:color="000000"/>
            </w:tcBorders>
            <w:shd w:fill="auto" w:val="clear"/>
          </w:tcPr>
          <w:p>
            <w:pPr>
              <w:pStyle w:val="Normal"/>
              <w:rPr>
                <w:lang w:val="en-GB"/>
              </w:rPr>
            </w:pPr>
            <w:r>
              <w:rPr>
                <w:lang w:val="en-GB"/>
              </w:rPr>
              <w:t>Experience in local government procurement.</w:t>
            </w:r>
          </w:p>
        </w:tc>
        <w:tc>
          <w:tcPr>
            <w:tcW w:w="1833" w:type="dxa"/>
            <w:tcBorders>
              <w:top w:val="single" w:sz="4" w:space="0" w:color="000000"/>
              <w:left w:val="single" w:sz="4" w:space="0" w:color="000000"/>
              <w:bottom w:val="single" w:sz="4" w:space="0" w:color="000000"/>
            </w:tcBorders>
            <w:shd w:fill="auto" w:val="clear"/>
            <w:vAlign w:val="center"/>
          </w:tcPr>
          <w:p>
            <w:pPr>
              <w:pStyle w:val="Normal"/>
              <w:snapToGrid w:val="false"/>
              <w:jc w:val="center"/>
              <w:rPr>
                <w:lang w:val="en-GB"/>
              </w:rPr>
            </w:pPr>
            <w:r>
              <w:rPr>
                <w:lang w:val="en-GB"/>
              </w:rPr>
            </w:r>
          </w:p>
        </w:tc>
        <w:tc>
          <w:tcPr>
            <w:tcW w:w="190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rFonts w:ascii="Apple Color Emoji" w:hAnsi="Apple Color Emoji" w:cs="Apple Color Emoji"/>
                <w:lang w:val="en-GB"/>
              </w:rPr>
            </w:pPr>
            <w:r>
              <w:rPr>
                <w:rFonts w:cs="Apple Color Emoji" w:ascii="Apple Color Emoji" w:hAnsi="Apple Color Emoji"/>
                <w:lang w:val="en-GB"/>
              </w:rPr>
              <w:t>✔️</w:t>
            </w:r>
          </w:p>
        </w:tc>
      </w:tr>
      <w:tr>
        <w:trPr>
          <w:trHeight w:val="729" w:hRule="atLeast"/>
        </w:trPr>
        <w:tc>
          <w:tcPr>
            <w:tcW w:w="6346" w:type="dxa"/>
            <w:tcBorders>
              <w:top w:val="single" w:sz="4" w:space="0" w:color="000000"/>
              <w:left w:val="single" w:sz="4" w:space="0" w:color="000000"/>
              <w:bottom w:val="single" w:sz="4" w:space="0" w:color="000000"/>
            </w:tcBorders>
            <w:shd w:fill="auto" w:val="clear"/>
          </w:tcPr>
          <w:p>
            <w:pPr>
              <w:pStyle w:val="Normal"/>
              <w:rPr>
                <w:lang w:val="en-GB"/>
              </w:rPr>
            </w:pPr>
            <w:r>
              <w:rPr>
                <w:lang w:val="en-GB"/>
              </w:rPr>
              <w:t>Experience leading complex or high-value procurement exercises.</w:t>
            </w:r>
          </w:p>
        </w:tc>
        <w:tc>
          <w:tcPr>
            <w:tcW w:w="1833" w:type="dxa"/>
            <w:tcBorders>
              <w:top w:val="single" w:sz="4" w:space="0" w:color="000000"/>
              <w:left w:val="single" w:sz="4" w:space="0" w:color="000000"/>
              <w:bottom w:val="single" w:sz="4" w:space="0" w:color="000000"/>
            </w:tcBorders>
            <w:shd w:fill="auto" w:val="clear"/>
            <w:vAlign w:val="center"/>
          </w:tcPr>
          <w:p>
            <w:pPr>
              <w:pStyle w:val="Normal"/>
              <w:snapToGrid w:val="false"/>
              <w:jc w:val="center"/>
              <w:rPr>
                <w:lang w:val="en-GB"/>
              </w:rPr>
            </w:pPr>
            <w:r>
              <w:rPr>
                <w:lang w:val="en-GB"/>
              </w:rPr>
            </w:r>
          </w:p>
        </w:tc>
        <w:tc>
          <w:tcPr>
            <w:tcW w:w="190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rFonts w:ascii="Apple Color Emoji" w:hAnsi="Apple Color Emoji" w:cs="Apple Color Emoji"/>
                <w:lang w:val="en-GB"/>
              </w:rPr>
            </w:pPr>
            <w:r>
              <w:rPr>
                <w:rFonts w:cs="Apple Color Emoji" w:ascii="Apple Color Emoji" w:hAnsi="Apple Color Emoji"/>
                <w:lang w:val="en-GB"/>
              </w:rPr>
              <w:t>✔️</w:t>
            </w:r>
          </w:p>
        </w:tc>
      </w:tr>
      <w:tr>
        <w:trPr>
          <w:trHeight w:val="729" w:hRule="atLeast"/>
        </w:trPr>
        <w:tc>
          <w:tcPr>
            <w:tcW w:w="6346" w:type="dxa"/>
            <w:tcBorders>
              <w:top w:val="single" w:sz="4" w:space="0" w:color="000000"/>
              <w:left w:val="single" w:sz="4" w:space="0" w:color="000000"/>
              <w:bottom w:val="single" w:sz="4" w:space="0" w:color="000000"/>
            </w:tcBorders>
            <w:shd w:fill="auto" w:val="clear"/>
          </w:tcPr>
          <w:p>
            <w:pPr>
              <w:pStyle w:val="Normal"/>
              <w:rPr>
                <w:lang w:val="en-GB"/>
              </w:rPr>
            </w:pPr>
            <w:r>
              <w:rPr>
                <w:lang w:val="en-GB"/>
              </w:rPr>
              <w:t>Experience using Unit4, Scanmarket or Proactis.</w:t>
            </w:r>
          </w:p>
        </w:tc>
        <w:tc>
          <w:tcPr>
            <w:tcW w:w="1833" w:type="dxa"/>
            <w:tcBorders>
              <w:top w:val="single" w:sz="4" w:space="0" w:color="000000"/>
              <w:left w:val="single" w:sz="4" w:space="0" w:color="000000"/>
              <w:bottom w:val="single" w:sz="4" w:space="0" w:color="000000"/>
            </w:tcBorders>
            <w:shd w:fill="auto" w:val="clear"/>
            <w:vAlign w:val="center"/>
          </w:tcPr>
          <w:p>
            <w:pPr>
              <w:pStyle w:val="Normal"/>
              <w:snapToGrid w:val="false"/>
              <w:jc w:val="center"/>
              <w:rPr>
                <w:lang w:val="en-GB"/>
              </w:rPr>
            </w:pPr>
            <w:r>
              <w:rPr>
                <w:lang w:val="en-GB"/>
              </w:rPr>
            </w:r>
          </w:p>
        </w:tc>
        <w:tc>
          <w:tcPr>
            <w:tcW w:w="190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rFonts w:ascii="Apple Color Emoji" w:hAnsi="Apple Color Emoji" w:cs="Apple Color Emoji"/>
                <w:lang w:val="en-GB"/>
              </w:rPr>
            </w:pPr>
            <w:r>
              <w:rPr>
                <w:rFonts w:cs="Apple Color Emoji" w:ascii="Apple Color Emoji" w:hAnsi="Apple Color Emoji"/>
                <w:lang w:val="en-GB"/>
              </w:rPr>
              <w:t>✔️</w:t>
            </w:r>
          </w:p>
        </w:tc>
      </w:tr>
      <w:tr>
        <w:trPr>
          <w:trHeight w:val="729" w:hRule="atLeast"/>
        </w:trPr>
        <w:tc>
          <w:tcPr>
            <w:tcW w:w="6346" w:type="dxa"/>
            <w:tcBorders>
              <w:top w:val="single" w:sz="4" w:space="0" w:color="000000"/>
              <w:left w:val="single" w:sz="4" w:space="0" w:color="000000"/>
              <w:bottom w:val="single" w:sz="4" w:space="0" w:color="000000"/>
            </w:tcBorders>
            <w:shd w:fill="auto" w:val="clear"/>
          </w:tcPr>
          <w:p>
            <w:pPr>
              <w:pStyle w:val="Normal"/>
              <w:rPr>
                <w:lang w:val="en-GB"/>
              </w:rPr>
            </w:pPr>
            <w:r>
              <w:rPr>
                <w:lang w:val="en-GB"/>
              </w:rPr>
              <w:t>Experience delivering measurable savings or value improvements.</w:t>
            </w:r>
          </w:p>
        </w:tc>
        <w:tc>
          <w:tcPr>
            <w:tcW w:w="1833" w:type="dxa"/>
            <w:tcBorders>
              <w:top w:val="single" w:sz="4" w:space="0" w:color="000000"/>
              <w:left w:val="single" w:sz="4" w:space="0" w:color="000000"/>
              <w:bottom w:val="single" w:sz="4" w:space="0" w:color="000000"/>
            </w:tcBorders>
            <w:shd w:fill="auto" w:val="clear"/>
            <w:vAlign w:val="center"/>
          </w:tcPr>
          <w:p>
            <w:pPr>
              <w:pStyle w:val="Normal"/>
              <w:snapToGrid w:val="false"/>
              <w:jc w:val="center"/>
              <w:rPr>
                <w:lang w:val="en-GB"/>
              </w:rPr>
            </w:pPr>
            <w:r>
              <w:rPr>
                <w:lang w:val="en-GB"/>
              </w:rPr>
            </w:r>
          </w:p>
        </w:tc>
        <w:tc>
          <w:tcPr>
            <w:tcW w:w="190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rFonts w:ascii="Apple Color Emoji" w:hAnsi="Apple Color Emoji" w:cs="Apple Color Emoji"/>
                <w:lang w:val="en-GB"/>
              </w:rPr>
            </w:pPr>
            <w:r>
              <w:rPr>
                <w:rFonts w:cs="Apple Color Emoji" w:ascii="Apple Color Emoji" w:hAnsi="Apple Color Emoji"/>
                <w:lang w:val="en-GB"/>
              </w:rPr>
              <w:t>✔️</w:t>
            </w:r>
          </w:p>
        </w:tc>
      </w:tr>
    </w:tbl>
    <w:p>
      <w:pPr>
        <w:pStyle w:val="Normal"/>
        <w:rPr>
          <w:lang w:val="en-GB"/>
        </w:rPr>
      </w:pPr>
      <w:r>
        <w:rPr>
          <w:lang w:val="en-GB"/>
        </w:rPr>
      </w:r>
    </w:p>
    <w:p>
      <w:pPr>
        <w:pStyle w:val="Normal"/>
        <w:rPr>
          <w:b/>
          <w:b/>
          <w:lang w:val="en-GB"/>
        </w:rPr>
      </w:pPr>
      <w:r>
        <w:rPr>
          <w:b/>
          <w:lang w:val="en-GB"/>
        </w:rPr>
      </w:r>
    </w:p>
    <w:p>
      <w:pPr>
        <w:pStyle w:val="Normal"/>
        <w:ind w:left="142" w:right="0" w:hanging="0"/>
        <w:rPr>
          <w:b/>
          <w:b/>
          <w:lang w:val="en-GB"/>
        </w:rPr>
      </w:pPr>
      <w:r>
        <w:rPr>
          <w:b/>
          <w:lang w:val="en-GB"/>
        </w:rPr>
        <w:t>CRITERIA FOR INTERVIEW AND OTHER ASSESSMENT METHODS</w:t>
      </w:r>
    </w:p>
    <w:p>
      <w:pPr>
        <w:pStyle w:val="Normal"/>
        <w:ind w:left="142" w:right="0" w:hanging="0"/>
        <w:rPr>
          <w:b/>
          <w:b/>
          <w:lang w:val="en-GB"/>
        </w:rPr>
      </w:pPr>
      <w:r>
        <w:rPr>
          <w:b/>
          <w:lang w:val="en-GB"/>
        </w:rPr>
        <w:t>The short-listing criteria listed plus the following:</w:t>
      </w:r>
    </w:p>
    <w:p>
      <w:pPr>
        <w:pStyle w:val="Normal"/>
        <w:rPr>
          <w:b/>
          <w:b/>
          <w:lang w:val="en-GB"/>
        </w:rPr>
      </w:pPr>
      <w:r>
        <w:rPr>
          <w:b/>
          <w:lang w:val="en-GB"/>
        </w:rPr>
      </w:r>
    </w:p>
    <w:tbl>
      <w:tblPr>
        <w:tblW w:w="4700" w:type="pct"/>
        <w:jc w:val="left"/>
        <w:tblInd w:w="132" w:type="dxa"/>
        <w:tblCellMar>
          <w:top w:w="0" w:type="dxa"/>
          <w:left w:w="108" w:type="dxa"/>
          <w:bottom w:w="0" w:type="dxa"/>
          <w:right w:w="108" w:type="dxa"/>
        </w:tblCellMar>
      </w:tblPr>
      <w:tblGrid>
        <w:gridCol w:w="2893"/>
        <w:gridCol w:w="7358"/>
      </w:tblGrid>
      <w:tr>
        <w:trPr>
          <w:trHeight w:val="430" w:hRule="atLeast"/>
        </w:trPr>
        <w:tc>
          <w:tcPr>
            <w:tcW w:w="2893" w:type="dxa"/>
            <w:tcBorders>
              <w:top w:val="single" w:sz="4" w:space="0" w:color="000000"/>
              <w:left w:val="single" w:sz="4" w:space="0" w:color="000000"/>
              <w:bottom w:val="single" w:sz="4" w:space="0" w:color="000000"/>
            </w:tcBorders>
            <w:shd w:fill="auto" w:val="clear"/>
            <w:vAlign w:val="center"/>
          </w:tcPr>
          <w:p>
            <w:pPr>
              <w:pStyle w:val="Normal"/>
              <w:rPr>
                <w:b/>
                <w:b/>
                <w:lang w:val="en-GB"/>
              </w:rPr>
            </w:pPr>
            <w:r>
              <w:rPr>
                <w:b/>
                <w:lang w:val="en-GB"/>
              </w:rPr>
              <w:t>ASSESSMENT</w:t>
            </w:r>
          </w:p>
          <w:p>
            <w:pPr>
              <w:pStyle w:val="Normal"/>
              <w:rPr>
                <w:b/>
                <w:b/>
                <w:lang w:val="en-GB"/>
              </w:rPr>
            </w:pPr>
            <w:r>
              <w:rPr>
                <w:b/>
                <w:lang w:val="en-GB"/>
              </w:rPr>
              <w:t>METHOD</w:t>
            </w:r>
          </w:p>
        </w:tc>
        <w:tc>
          <w:tcPr>
            <w:tcW w:w="735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b/>
                <w:b/>
                <w:lang w:val="en-GB"/>
              </w:rPr>
            </w:pPr>
            <w:r>
              <w:rPr>
                <w:b/>
                <w:lang w:val="en-GB"/>
              </w:rPr>
              <w:t>CRITERIA</w:t>
            </w:r>
          </w:p>
        </w:tc>
      </w:tr>
      <w:tr>
        <w:trPr>
          <w:trHeight w:val="708" w:hRule="atLeast"/>
          <w:cantSplit w:val="true"/>
        </w:trPr>
        <w:tc>
          <w:tcPr>
            <w:tcW w:w="2893" w:type="dxa"/>
            <w:tcBorders>
              <w:top w:val="single" w:sz="4" w:space="0" w:color="000000"/>
              <w:left w:val="single" w:sz="4" w:space="0" w:color="000000"/>
              <w:bottom w:val="single" w:sz="4" w:space="0" w:color="000000"/>
            </w:tcBorders>
            <w:shd w:fill="auto" w:val="clear"/>
            <w:vAlign w:val="center"/>
          </w:tcPr>
          <w:p>
            <w:pPr>
              <w:pStyle w:val="Normal"/>
              <w:rPr>
                <w:lang w:val="en-GB"/>
              </w:rPr>
            </w:pPr>
            <w:r>
              <w:rPr>
                <w:lang w:val="en-GB"/>
              </w:rPr>
              <w:t>Assessment / Test</w:t>
            </w:r>
          </w:p>
        </w:tc>
        <w:tc>
          <w:tcPr>
            <w:tcW w:w="735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lang w:val="en-GB"/>
              </w:rPr>
            </w:pPr>
            <w:r>
              <w:rPr>
                <w:lang w:val="en-GB"/>
              </w:rPr>
              <w:t>Procurement technical capability. Ability to develop sourcing strategies and apply procurement legislation.</w:t>
            </w:r>
          </w:p>
        </w:tc>
      </w:tr>
      <w:tr>
        <w:trPr>
          <w:trHeight w:val="708" w:hRule="atLeast"/>
          <w:cantSplit w:val="true"/>
        </w:trPr>
        <w:tc>
          <w:tcPr>
            <w:tcW w:w="2893" w:type="dxa"/>
            <w:tcBorders>
              <w:top w:val="single" w:sz="4" w:space="0" w:color="000000"/>
              <w:left w:val="single" w:sz="4" w:space="0" w:color="000000"/>
              <w:bottom w:val="single" w:sz="4" w:space="0" w:color="000000"/>
            </w:tcBorders>
            <w:shd w:fill="auto" w:val="clear"/>
            <w:vAlign w:val="center"/>
          </w:tcPr>
          <w:p>
            <w:pPr>
              <w:pStyle w:val="Normal"/>
              <w:rPr>
                <w:lang w:val="en-GB"/>
              </w:rPr>
            </w:pPr>
            <w:r>
              <w:rPr>
                <w:lang w:val="en-GB"/>
              </w:rPr>
              <w:t>Assessment / Test</w:t>
            </w:r>
          </w:p>
        </w:tc>
        <w:tc>
          <w:tcPr>
            <w:tcW w:w="735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lang w:val="en-GB"/>
              </w:rPr>
            </w:pPr>
            <w:r>
              <w:rPr>
                <w:lang w:val="en-GB"/>
              </w:rPr>
              <w:t>Commercial analysis. Ability to interpret procurement scenarios and recommend appropriate approaches.</w:t>
            </w:r>
          </w:p>
        </w:tc>
      </w:tr>
      <w:tr>
        <w:trPr>
          <w:trHeight w:val="708" w:hRule="atLeast"/>
          <w:cantSplit w:val="true"/>
        </w:trPr>
        <w:tc>
          <w:tcPr>
            <w:tcW w:w="2893" w:type="dxa"/>
            <w:tcBorders>
              <w:top w:val="single" w:sz="4" w:space="0" w:color="000000"/>
              <w:left w:val="single" w:sz="4" w:space="0" w:color="000000"/>
              <w:bottom w:val="single" w:sz="4" w:space="0" w:color="000000"/>
            </w:tcBorders>
            <w:shd w:fill="auto" w:val="clear"/>
            <w:vAlign w:val="center"/>
          </w:tcPr>
          <w:p>
            <w:pPr>
              <w:pStyle w:val="Normal"/>
              <w:rPr>
                <w:lang w:val="en-GB"/>
              </w:rPr>
            </w:pPr>
            <w:r>
              <w:rPr>
                <w:lang w:val="en-GB"/>
              </w:rPr>
              <w:t>Assessment / Test</w:t>
            </w:r>
          </w:p>
        </w:tc>
        <w:tc>
          <w:tcPr>
            <w:tcW w:w="735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lang w:val="en-GB"/>
              </w:rPr>
            </w:pPr>
            <w:r>
              <w:rPr>
                <w:lang w:val="en-GB"/>
              </w:rPr>
              <w:t>Organisational and prioritisation capability. Managing multiple procurement activities effectively.</w:t>
            </w:r>
          </w:p>
        </w:tc>
      </w:tr>
      <w:tr>
        <w:trPr>
          <w:trHeight w:val="708" w:hRule="atLeast"/>
        </w:trPr>
        <w:tc>
          <w:tcPr>
            <w:tcW w:w="2893" w:type="dxa"/>
            <w:tcBorders>
              <w:top w:val="single" w:sz="4" w:space="0" w:color="000000"/>
              <w:left w:val="single" w:sz="4" w:space="0" w:color="000000"/>
              <w:bottom w:val="single" w:sz="4" w:space="0" w:color="000000"/>
            </w:tcBorders>
            <w:shd w:fill="auto" w:val="clear"/>
            <w:vAlign w:val="center"/>
          </w:tcPr>
          <w:p>
            <w:pPr>
              <w:pStyle w:val="Normal"/>
              <w:rPr>
                <w:lang w:val="en-GB"/>
              </w:rPr>
            </w:pPr>
            <w:r>
              <w:rPr>
                <w:lang w:val="en-GB"/>
              </w:rPr>
              <w:t>Application / Interview</w:t>
            </w:r>
          </w:p>
        </w:tc>
        <w:tc>
          <w:tcPr>
            <w:tcW w:w="735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lang w:val="en-GB"/>
              </w:rPr>
            </w:pPr>
            <w:r>
              <w:rPr>
                <w:lang w:val="en-GB"/>
              </w:rPr>
              <w:t>Stakeholder management. Evidence of influencing services and delivering procurement outcomes.</w:t>
            </w:r>
          </w:p>
        </w:tc>
      </w:tr>
      <w:tr>
        <w:trPr>
          <w:trHeight w:val="708" w:hRule="atLeast"/>
        </w:trPr>
        <w:tc>
          <w:tcPr>
            <w:tcW w:w="2893" w:type="dxa"/>
            <w:tcBorders>
              <w:top w:val="single" w:sz="4" w:space="0" w:color="000000"/>
              <w:left w:val="single" w:sz="4" w:space="0" w:color="000000"/>
              <w:bottom w:val="single" w:sz="4" w:space="0" w:color="000000"/>
            </w:tcBorders>
            <w:shd w:fill="auto" w:val="clear"/>
            <w:vAlign w:val="center"/>
          </w:tcPr>
          <w:p>
            <w:pPr>
              <w:pStyle w:val="Normal"/>
              <w:rPr>
                <w:lang w:val="en-GB"/>
              </w:rPr>
            </w:pPr>
            <w:r>
              <w:rPr>
                <w:lang w:val="en-GB"/>
              </w:rPr>
              <w:t>Application / Interview</w:t>
            </w:r>
          </w:p>
        </w:tc>
        <w:tc>
          <w:tcPr>
            <w:tcW w:w="735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lang w:val="en-GB"/>
              </w:rPr>
            </w:pPr>
            <w:r>
              <w:rPr>
                <w:lang w:val="en-GB"/>
              </w:rPr>
              <w:t>Leadership and team support. Evidence of supervising or supporting procurement staff.</w:t>
            </w:r>
          </w:p>
        </w:tc>
      </w:tr>
      <w:tr>
        <w:trPr>
          <w:trHeight w:val="708" w:hRule="atLeast"/>
        </w:trPr>
        <w:tc>
          <w:tcPr>
            <w:tcW w:w="2893" w:type="dxa"/>
            <w:tcBorders>
              <w:top w:val="single" w:sz="4" w:space="0" w:color="000000"/>
              <w:left w:val="single" w:sz="4" w:space="0" w:color="000000"/>
              <w:bottom w:val="single" w:sz="4" w:space="0" w:color="000000"/>
            </w:tcBorders>
            <w:shd w:fill="auto" w:val="clear"/>
            <w:vAlign w:val="center"/>
          </w:tcPr>
          <w:p>
            <w:pPr>
              <w:pStyle w:val="Normal"/>
              <w:rPr>
                <w:lang w:val="en-GB"/>
              </w:rPr>
            </w:pPr>
            <w:r>
              <w:rPr>
                <w:lang w:val="en-GB"/>
              </w:rPr>
              <w:t>Application / Interview</w:t>
            </w:r>
          </w:p>
        </w:tc>
        <w:tc>
          <w:tcPr>
            <w:tcW w:w="735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lang w:val="en-GB"/>
              </w:rPr>
            </w:pPr>
            <w:r>
              <w:rPr>
                <w:lang w:val="en-GB"/>
              </w:rPr>
              <w:t>Governance and compliance. Evidence of delivering compliant procurement activity.</w:t>
            </w:r>
          </w:p>
        </w:tc>
      </w:tr>
      <w:tr>
        <w:trPr>
          <w:trHeight w:val="708" w:hRule="atLeast"/>
        </w:trPr>
        <w:tc>
          <w:tcPr>
            <w:tcW w:w="2893" w:type="dxa"/>
            <w:tcBorders>
              <w:top w:val="single" w:sz="4" w:space="0" w:color="000000"/>
              <w:left w:val="single" w:sz="4" w:space="0" w:color="000000"/>
              <w:bottom w:val="single" w:sz="4" w:space="0" w:color="000000"/>
            </w:tcBorders>
            <w:shd w:fill="auto" w:val="clear"/>
            <w:vAlign w:val="center"/>
          </w:tcPr>
          <w:p>
            <w:pPr>
              <w:pStyle w:val="Normal"/>
              <w:rPr>
                <w:lang w:val="en-GB"/>
              </w:rPr>
            </w:pPr>
            <w:r>
              <w:rPr>
                <w:lang w:val="en-GB"/>
              </w:rPr>
              <w:t>Application / Interview</w:t>
            </w:r>
          </w:p>
        </w:tc>
        <w:tc>
          <w:tcPr>
            <w:tcW w:w="735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lang w:val="en-GB"/>
              </w:rPr>
            </w:pPr>
            <w:r>
              <w:rPr>
                <w:lang w:val="en-GB"/>
              </w:rPr>
              <w:t>Delivery and performance. Evidence of delivering procurement outcomes successfully.</w:t>
            </w:r>
          </w:p>
        </w:tc>
      </w:tr>
    </w:tbl>
    <w:p>
      <w:pPr>
        <w:pStyle w:val="Normal"/>
        <w:rPr>
          <w:lang w:val="en-GB"/>
        </w:rPr>
      </w:pPr>
      <w:r>
        <w:rPr>
          <w:lang w:val="en-GB"/>
        </w:rPr>
      </w:r>
    </w:p>
    <w:p>
      <w:pPr>
        <w:pStyle w:val="Normal"/>
        <w:rPr>
          <w:lang w:val="en-GB"/>
        </w:rPr>
      </w:pPr>
      <w:r>
        <w:rPr>
          <w:lang w:val="en-GB"/>
        </w:rPr>
      </w:r>
    </w:p>
    <w:p>
      <w:pPr>
        <w:pStyle w:val="Normal"/>
        <w:rPr>
          <w:lang w:val="en-GB"/>
        </w:rPr>
      </w:pPr>
      <w:r>
        <w:rPr>
          <w:lang w:val="en-GB"/>
        </w:rPr>
      </w:r>
    </w:p>
    <w:p>
      <w:pPr>
        <w:sectPr>
          <w:type w:val="continuous"/>
          <w:pgSz w:w="11906" w:h="16850"/>
          <w:pgMar w:left="500" w:right="500" w:header="0" w:top="720" w:footer="0" w:bottom="280" w:gutter="0"/>
          <w:pgNumType w:fmt="decimal"/>
          <w:formProt w:val="false"/>
          <w:textDirection w:val="lrTb"/>
          <w:docGrid w:type="default" w:linePitch="360" w:charSpace="0"/>
        </w:sectPr>
        <w:pStyle w:val="Normal"/>
        <w:rPr>
          <w:lang w:val="en-GB"/>
        </w:rPr>
      </w:pPr>
      <w:r>
        <w:rPr>
          <w:lang w:val="en-GB"/>
        </w:rPr>
      </w:r>
    </w:p>
    <w:p>
      <w:pPr>
        <w:sectPr>
          <w:type w:val="nextPage"/>
          <w:pgSz w:w="11906" w:h="16850"/>
          <w:pgMar w:left="499" w:right="499" w:header="0" w:top="697" w:footer="0" w:bottom="278" w:gutter="0"/>
          <w:pgNumType w:fmt="decimal"/>
          <w:formProt w:val="false"/>
          <w:textDirection w:val="lrTb"/>
          <w:docGrid w:type="default" w:linePitch="100" w:charSpace="4096"/>
        </w:sectPr>
        <w:pStyle w:val="Normal"/>
        <w:numPr>
          <w:ilvl w:val="0"/>
          <w:numId w:val="0"/>
        </w:numPr>
        <w:rPr/>
      </w:pPr>
      <w:r>
        <w:rPr/>
      </w:r>
    </w:p>
    <w:p>
      <w:pPr>
        <w:pStyle w:val="TextBody"/>
        <w:ind w:left="8140" w:right="0" w:hanging="0"/>
        <w:rPr/>
      </w:pPr>
      <w:r>
        <w:rPr/>
        <w:drawing>
          <wp:inline distT="0" distB="0" distL="0" distR="0">
            <wp:extent cx="1463040" cy="607695"/>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rcRect l="-12" t="-28" r="-12" b="-28"/>
                    <a:stretch>
                      <a:fillRect/>
                    </a:stretch>
                  </pic:blipFill>
                  <pic:spPr bwMode="auto">
                    <a:xfrm>
                      <a:off x="0" y="0"/>
                      <a:ext cx="1463040" cy="607695"/>
                    </a:xfrm>
                    <a:prstGeom prst="rect">
                      <a:avLst/>
                    </a:prstGeom>
                  </pic:spPr>
                </pic:pic>
              </a:graphicData>
            </a:graphic>
          </wp:inline>
        </w:drawing>
      </w:r>
    </w:p>
    <w:sectPr>
      <w:type w:val="nextPage"/>
      <w:pgSz w:w="11906" w:h="16850"/>
      <w:pgMar w:left="500" w:right="500" w:header="0" w:top="640" w:footer="0" w:bottom="280"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Verdana">
    <w:charset w:val="00"/>
    <w:family w:val="roman"/>
    <w:pitch w:val="variable"/>
  </w:font>
  <w:font w:name="Cambria">
    <w:charset w:val="00"/>
    <w:family w:val="roman"/>
    <w:pitch w:val="variable"/>
  </w:font>
  <w:font w:name="Liberation Sans">
    <w:altName w:val="Arial"/>
    <w:charset w:val="00"/>
    <w:family w:val="swiss"/>
    <w:pitch w:val="variable"/>
  </w:font>
  <w:font w:name="Apple Color Emoji">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decimal"/>
      <w:lvlText w:val="%1."/>
      <w:lvlJc w:val="left"/>
      <w:pPr>
        <w:ind w:left="720" w:hanging="360"/>
      </w:pPr>
      <w:r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val="false"/>
      <w:suppressAutoHyphens w:val="true"/>
      <w:bidi w:val="0"/>
      <w:spacing w:before="0" w:after="0"/>
      <w:jc w:val="left"/>
    </w:pPr>
    <w:rPr>
      <w:rFonts w:ascii="Verdana" w:hAnsi="Verdana" w:eastAsia="Verdana" w:cs="Verdana"/>
      <w:color w:val="auto"/>
      <w:kern w:val="0"/>
      <w:sz w:val="22"/>
      <w:szCs w:val="22"/>
      <w:lang w:val="en-US" w:eastAsia="en-US" w:bidi="ar-SA"/>
    </w:rPr>
  </w:style>
  <w:style w:type="paragraph" w:styleId="Heading1">
    <w:name w:val="Heading 1"/>
    <w:basedOn w:val="Normal"/>
    <w:next w:val="Normal"/>
    <w:qFormat/>
    <w:pPr>
      <w:keepNext w:val="true"/>
      <w:keepLines/>
      <w:widowControl/>
      <w:numPr>
        <w:ilvl w:val="0"/>
        <w:numId w:val="1"/>
      </w:numPr>
      <w:spacing w:lineRule="auto" w:line="276" w:before="360" w:after="240"/>
      <w:ind w:left="425" w:right="0" w:hanging="425"/>
      <w:outlineLvl w:val="0"/>
    </w:pPr>
    <w:rPr>
      <w:rFonts w:ascii="Cambria" w:hAnsi="Cambria" w:eastAsia="" w:cs=""/>
      <w:b/>
      <w:bCs/>
      <w:color w:val="365F91"/>
      <w:sz w:val="28"/>
      <w:szCs w:val="28"/>
      <w:lang w:val="en-GB"/>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DefaultParagraphFont">
    <w:name w:val="Default Paragraph Font"/>
    <w:qFormat/>
    <w:rPr/>
  </w:style>
  <w:style w:type="character" w:styleId="Heading1Char">
    <w:name w:val="Heading 1 Char"/>
    <w:basedOn w:val="DefaultParagraphFont"/>
    <w:qFormat/>
    <w:rPr>
      <w:rFonts w:ascii="Cambria" w:hAnsi="Cambria" w:eastAsia="" w:cs=""/>
      <w:b/>
      <w:bCs/>
      <w:color w:val="365F91"/>
      <w:sz w:val="28"/>
      <w:szCs w:val="28"/>
      <w:lang w:val="en-GB"/>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ind w:left="940" w:right="0" w:hanging="361"/>
    </w:pPr>
    <w:rPr>
      <w:sz w:val="24"/>
      <w:szCs w:val="24"/>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before="203" w:after="0"/>
      <w:ind w:left="940" w:right="0" w:hanging="361"/>
    </w:pPr>
    <w:rPr/>
  </w:style>
  <w:style w:type="paragraph" w:styleId="TableParagraph">
    <w:name w:val="Table Paragraph"/>
    <w:basedOn w:val="Normal"/>
    <w:qFormat/>
    <w:pPr>
      <w:ind w:left="107" w:right="0" w:hanging="0"/>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2026-08-14T07:23:00Z</dcterms:created>
  <dc:creator>a.c.bailey</dc:creator>
  <dc:description/>
  <dc:language>en-US</dc:language>
  <cp:lastModifiedBy>Fletcher, Kevin</cp:lastModifiedBy>
  <cp:lastPrinted>1995-11-21T17:41:00Z</cp:lastPrinted>
  <dcterms:modified xsi:type="dcterms:W3CDTF">2026-08-14T07:23:00Z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0x010100085363A1606BB04B89EFFCB0543EC57A</vt:lpwstr>
  </property>
  <property fmtid="{D5CDD505-2E9C-101B-9397-08002B2CF9AE}" pid="4" name="Created">
    <vt:filetime>2022-08-04T00:00:00Z</vt:filetime>
  </property>
  <property fmtid="{D5CDD505-2E9C-101B-9397-08002B2CF9AE}" pid="5" name="Creator">
    <vt:lpwstr>Microsoft® Word for Microsoft 365</vt:lpwstr>
  </property>
  <property fmtid="{D5CDD505-2E9C-101B-9397-08002B2CF9AE}" pid="6" name="DocSecurity">
    <vt:i4>0</vt:i4>
  </property>
  <property fmtid="{D5CDD505-2E9C-101B-9397-08002B2CF9AE}" pid="7" name="HyperlinksChanged">
    <vt:bool>0</vt:bool>
  </property>
  <property fmtid="{D5CDD505-2E9C-101B-9397-08002B2CF9AE}" pid="8" name="LastSaved">
    <vt:filetime>2024-10-24T00:00:00Z</vt:filetime>
  </property>
  <property fmtid="{D5CDD505-2E9C-101B-9397-08002B2CF9AE}" pid="9" name="LinksUpToDate">
    <vt:bool>0</vt:bool>
  </property>
  <property fmtid="{D5CDD505-2E9C-101B-9397-08002B2CF9AE}" pid="10" name="Producer">
    <vt:lpwstr>Microsoft® Word for Microsoft 365</vt:lpwstr>
  </property>
  <property fmtid="{D5CDD505-2E9C-101B-9397-08002B2CF9AE}" pid="11" name="ScaleCrop">
    <vt:bool>0</vt:bool>
  </property>
  <property fmtid="{D5CDD505-2E9C-101B-9397-08002B2CF9AE}" pid="12" name="ShareDoc">
    <vt:bool>0</vt:bool>
  </property>
</Properties>
</file>