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drawing>
          <wp:inline distT="0" distB="0" distL="0" distR="0">
            <wp:extent cx="1479550" cy="61150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" t="-59" r="-24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JOB DESCRIPTION </w:t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2"/>
        <w:gridCol w:w="4584"/>
      </w:tblGrid>
      <w:tr>
        <w:trPr>
          <w:trHeight w:val="720" w:hRule="atLeast"/>
          <w:cantSplit w:val="true"/>
        </w:trPr>
        <w:tc>
          <w:tcPr>
            <w:tcW w:w="902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Title</w:t>
            </w:r>
            <w:r>
              <w:rPr>
                <w:rFonts w:cs="Arial"/>
              </w:rPr>
              <w:t>: Repairs and Maintenance Supervisor</w:t>
            </w:r>
          </w:p>
        </w:tc>
      </w:tr>
      <w:tr>
        <w:trPr>
          <w:cantSplit w:val="true"/>
        </w:trPr>
        <w:tc>
          <w:tcPr>
            <w:tcW w:w="444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Department</w:t>
            </w:r>
            <w:r>
              <w:rPr>
                <w:rFonts w:cs="Arial"/>
              </w:rPr>
              <w:t xml:space="preserve">: Corporate Core </w:t>
            </w:r>
          </w:p>
        </w:tc>
        <w:tc>
          <w:tcPr>
            <w:tcW w:w="458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No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720" w:hRule="atLeast"/>
          <w:cantSplit w:val="true"/>
        </w:trPr>
        <w:tc>
          <w:tcPr>
            <w:tcW w:w="4442" w:type="dxa"/>
            <w:tcBorders>
              <w:top w:val="double" w:sz="6" w:space="0" w:color="000000"/>
              <w:lef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Division/Section</w:t>
            </w:r>
            <w:r>
              <w:rPr>
                <w:rFonts w:cs="Arial"/>
              </w:rPr>
              <w:t>: Housing</w:t>
            </w:r>
          </w:p>
        </w:tc>
        <w:tc>
          <w:tcPr>
            <w:tcW w:w="458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Grade</w:t>
            </w:r>
            <w:r>
              <w:rPr>
                <w:rFonts w:cs="Arial"/>
              </w:rPr>
              <w:t xml:space="preserve">: </w:t>
            </w:r>
          </w:p>
        </w:tc>
      </w:tr>
      <w:tr>
        <w:trPr>
          <w:trHeight w:val="720" w:hRule="atLeast"/>
          <w:cantSplit w:val="true"/>
        </w:trPr>
        <w:tc>
          <w:tcPr>
            <w:tcW w:w="444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Location</w:t>
            </w:r>
            <w:r>
              <w:rPr>
                <w:rFonts w:cs="Arial"/>
              </w:rPr>
              <w:t>: Various Locations</w:t>
            </w:r>
          </w:p>
        </w:tc>
        <w:tc>
          <w:tcPr>
            <w:tcW w:w="4584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Post Hours</w:t>
            </w:r>
            <w:r>
              <w:rPr>
                <w:rFonts w:cs="Arial"/>
              </w:rPr>
              <w:t>: 37</w:t>
            </w:r>
          </w:p>
        </w:tc>
      </w:tr>
      <w:tr>
        <w:trPr>
          <w:trHeight w:val="960" w:hRule="atLeast"/>
          <w:cantSplit w:val="true"/>
        </w:trPr>
        <w:tc>
          <w:tcPr>
            <w:tcW w:w="902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Special Conditions of Service</w:t>
            </w:r>
            <w:r>
              <w:rPr>
                <w:rFonts w:cs="Arial"/>
              </w:rPr>
              <w:t>: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Full Driving License and access to a car</w:t>
            </w:r>
          </w:p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Take part in the out of hours call service rota.</w:t>
            </w:r>
          </w:p>
        </w:tc>
      </w:tr>
      <w:tr>
        <w:trPr>
          <w:trHeight w:val="1426" w:hRule="atLeast"/>
          <w:cantSplit w:val="true"/>
        </w:trPr>
        <w:tc>
          <w:tcPr>
            <w:tcW w:w="902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Purpose and Objectives of Post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To supervise the delivery of repairs and refurbishment works by trade operatives including responsive and planned repairs; empty homes reinstatement; disrepair; damp; and capital investment; minor and major adaptations; and structural works to council homes, public buildings and any other buildings managed by or worked on by Bury Council.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  <w:t>Responsible for the management of trade operatives in connection with the delivery of the above works</w:t>
            </w:r>
          </w:p>
          <w:p>
            <w:pPr>
              <w:pStyle w:val="Normal"/>
              <w:tabs>
                <w:tab w:val="clear" w:pos="720"/>
                <w:tab w:val="left" w:pos="108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GB"/>
              </w:rPr>
            </w:r>
          </w:p>
        </w:tc>
      </w:tr>
      <w:tr>
        <w:trPr>
          <w:cantSplit w:val="true"/>
        </w:trPr>
        <w:tc>
          <w:tcPr>
            <w:tcW w:w="902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Accountable to</w:t>
            </w:r>
            <w:r>
              <w:rPr>
                <w:rFonts w:cs="Arial"/>
              </w:rPr>
              <w:t xml:space="preserve">: Repairs Manager </w:t>
            </w:r>
          </w:p>
        </w:tc>
      </w:tr>
      <w:tr>
        <w:trPr>
          <w:cantSplit w:val="true"/>
        </w:trPr>
        <w:tc>
          <w:tcPr>
            <w:tcW w:w="902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to</w:t>
            </w:r>
            <w:r>
              <w:rPr>
                <w:rFonts w:cs="Arial"/>
              </w:rPr>
              <w:t>: Repairs Manager</w:t>
            </w:r>
          </w:p>
        </w:tc>
      </w:tr>
      <w:tr>
        <w:trPr>
          <w:trHeight w:val="680" w:hRule="atLeast"/>
          <w:cantSplit w:val="true"/>
        </w:trPr>
        <w:tc>
          <w:tcPr>
            <w:tcW w:w="9026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/>
            </w:pPr>
            <w:r>
              <w:rPr>
                <w:rFonts w:cs="Arial"/>
                <w:b/>
              </w:rPr>
              <w:t>Immediately Responsible for</w:t>
            </w:r>
            <w:r>
              <w:rPr>
                <w:rFonts w:cs="Arial"/>
              </w:rPr>
              <w:t>: Operatives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>
        <w:trPr>
          <w:trHeight w:val="2777" w:hRule="atLeast"/>
          <w:cantSplit w:val="true"/>
        </w:trPr>
        <w:tc>
          <w:tcPr>
            <w:tcW w:w="9026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Relationships: (Internal and External)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Internal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Repairs and Maintenance Teams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Planned works teams.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Capital investment teams.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Housing Teams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External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Contractors/Subcontractors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Housing Tenants</w:t>
            </w:r>
          </w:p>
          <w:p>
            <w:pPr>
              <w:pStyle w:val="Normal"/>
              <w:tabs>
                <w:tab w:val="clear" w:pos="720"/>
                <w:tab w:val="left" w:pos="4320" w:leader="none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External Customers </w:t>
            </w:r>
          </w:p>
          <w:p>
            <w:pPr>
              <w:pStyle w:val="Normal"/>
              <w:widowControl/>
              <w:bidi w:val="0"/>
              <w:spacing w:lineRule="auto" w:line="256" w:before="0" w:after="16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Elected members</w:t>
            </w:r>
          </w:p>
        </w:tc>
      </w:tr>
      <w:tr>
        <w:trPr>
          <w:trHeight w:val="2154" w:hRule="atLeast"/>
          <w:cantSplit w:val="true"/>
        </w:trPr>
        <w:tc>
          <w:tcPr>
            <w:tcW w:w="902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b/>
              </w:rPr>
              <w:t>Control of Resources</w:t>
            </w:r>
            <w:r>
              <w:rPr>
                <w:rFonts w:cs="Arial"/>
              </w:rPr>
              <w:t xml:space="preserve">: 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Day to day responsibility for management of operatives.</w:t>
            </w:r>
          </w:p>
          <w:p>
            <w:pPr>
              <w:pStyle w:val="Normal"/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120" w:after="120"/>
        <w:rPr/>
      </w:pPr>
      <w:r>
        <w:rPr>
          <w:rFonts w:cs="Arial"/>
          <w:b/>
        </w:rPr>
        <w:t>Duties/Responsibilities</w:t>
      </w:r>
      <w:r>
        <w:rPr>
          <w:rFonts w:cs="Arial"/>
        </w:rPr>
        <w:t xml:space="preserve">: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Responsible for the day to day supervision of repairs maintenance and refurbishment works by the Operatives including responsive and planned repairs; empty homes reinstatement; disrepair; damp; and capital investment; minor and major adaptations; and structural works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Responsible for ensuring the delivery of health and safety requirements of responsive and planned repairs works.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Manage the operative vehicle use and care.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Manage all materials in the vehicles and on site.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Deliver improvements in productivity against agreed performance targets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Deliver performance improvement actions.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Assist in the investigation of stage 1 complaints and councillor enquiries and preparation of responses.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Assist in the provision of data and information to Head of Service for stage 2 complaints, Ombudsman enquiries and MP enquiries.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Delivery of toolbox talks for operatives.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Ensure all multi-skilled operative deliver right first-time repairs works wherever possible.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Manage all issued plant and equipment, ensuring its usage is in-line with manufacturer’s instructions, safety requirements and guidelines.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Safeguard Bury Council’s property/plant machinery.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To operate the IT systems and equipment provided in line with the company’s policies and procedures.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To ensure operatives adhere to and operate within the Bury Council’s Health and Safety Policies, risk assessments and safe working practices, ensuring your own Health and Safety and that of others.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694" w:leader="none"/>
        </w:tabs>
        <w:spacing w:lineRule="auto" w:line="240" w:before="120" w:after="0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Ensure that relevant task specific risk assessments are available to operatives for tasks such as working at height, electrical, gas, COSHH and manual handling.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Be responsible for impressed stock levels and replenishment on operatives vans and any other items issued to them. 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Be always courteous and maintain the Bury Council’s Customer Care Policy.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Be responsible for the maintenance and security of the imprest stock on the vehicle and the accurate recording of materials used against a given job either manually or on a mobile data device. Identifying nonstock items and requests for non-standard jobs.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To provide advice and assist with the training of colleagues.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  <w:t>The post holder will be required to carry out any other duties of a similar type that are commensurate with the role.</w:t>
      </w:r>
    </w:p>
    <w:p>
      <w:pPr>
        <w:pStyle w:val="Normal"/>
        <w:numPr>
          <w:ilvl w:val="0"/>
          <w:numId w:val="2"/>
        </w:numPr>
        <w:spacing w:lineRule="auto" w:line="276"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If service requires, the post holder will be expected to take part in the Out of Hours Emergency Repairs service.</w:t>
      </w:r>
    </w:p>
    <w:p>
      <w:pPr>
        <w:pStyle w:val="Normal"/>
        <w:spacing w:lineRule="auto" w:line="276"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2961"/>
        <w:gridCol w:w="2247"/>
      </w:tblGrid>
      <w:tr>
        <w:trPr>
          <w:trHeight w:val="240" w:hRule="atLeast"/>
          <w:cantSplit w:val="true"/>
        </w:trPr>
        <w:tc>
          <w:tcPr>
            <w:tcW w:w="9026" w:type="dxa"/>
            <w:gridSpan w:val="3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>
        <w:trPr>
          <w:trHeight w:val="240" w:hRule="atLeast"/>
          <w:cantSplit w:val="true"/>
        </w:trPr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Job Description prepared by:</w:t>
            </w:r>
          </w:p>
        </w:tc>
        <w:tc>
          <w:tcPr>
            <w:tcW w:w="296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Sign: </w:t>
            </w:r>
          </w:p>
        </w:tc>
        <w:tc>
          <w:tcPr>
            <w:tcW w:w="224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38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29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2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  <w:tr>
        <w:trPr>
          <w:trHeight w:val="240" w:hRule="atLeast"/>
          <w:cantSplit w:val="true"/>
        </w:trPr>
        <w:tc>
          <w:tcPr>
            <w:tcW w:w="38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296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Sign:</w:t>
            </w:r>
          </w:p>
        </w:tc>
        <w:tc>
          <w:tcPr>
            <w:tcW w:w="224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Date: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REPAIRS AND MAINTENANCE</w:t>
      </w:r>
    </w:p>
    <w:p>
      <w:pPr>
        <w:pStyle w:val="Normal"/>
        <w:jc w:val="center"/>
        <w:rPr>
          <w:b/>
          <w:b/>
        </w:rPr>
      </w:pPr>
      <w:r>
        <w:rPr>
          <w:b/>
        </w:rPr>
        <w:t>REPAIRS SUPERVISOR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3"/>
        <w:gridCol w:w="1636"/>
        <w:gridCol w:w="1517"/>
      </w:tblGrid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b/>
                <w:b/>
              </w:rPr>
            </w:pPr>
            <w:r>
              <w:rPr>
                <w:b/>
              </w:rPr>
              <w:t>SHORT LISTING CRITERIA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DESIRABLE</w:t>
            </w:r>
          </w:p>
        </w:tc>
      </w:tr>
      <w:tr>
        <w:trPr>
          <w:trHeight w:val="611" w:hRule="atLeast"/>
          <w:cantSplit w:val="true"/>
        </w:trPr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Degree or similar relevant qualification in Building Surveying or Building Management or time served trades operative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Substantial experience in responsive and planned repairs for a social housing provider or contractor.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Experience in managing an in house repairs operative workforce.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ing3"/>
              <w:keepNext w:val="true"/>
              <w:keepLines/>
              <w:spacing w:before="160" w:after="8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Able to work with minimum supervision and on your own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Experience of working in the building industry 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Experience of managing on site health and safety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Knowledge of safe working procedures and experience of working safely in an operational or high-risk customer environment 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Self-motivated, positive and able to work under pressure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  <w:bookmarkStart w:id="0" w:name="_Hlk168575678"/>
            <w:bookmarkStart w:id="1" w:name="_Hlk168575678"/>
            <w:bookmarkEnd w:id="1"/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/>
              </w:rPr>
              <w:t xml:space="preserve">Be conversant with aspects of maintenance of council housing properties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Be conversant with aspects of maintenance to public buildings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D</w:t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Ability to use ICT systems including the Microsoft package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Ability to prioritise activities and work to deadlines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Ability to trace, diagnose and rectify faults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Excellent interpersonal, communication and listening skills.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Ability to produce information on health and safety and productivity in written form including reports and presentations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Ability to develop new knowledge and skill to match technology and industry changes.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Must have a full valid driving licence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CRITERIA FOR INTERVIEW AND OTHER ASSESSMENT METHODS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  <w:t>The short-listing criteria listed plus the following:</w:t>
      </w:r>
    </w:p>
    <w:p>
      <w:pPr>
        <w:pStyle w:val="Normal"/>
        <w:jc w:val="both"/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7057"/>
      </w:tblGrid>
      <w:tr>
        <w:trPr>
          <w:trHeight w:val="345" w:hRule="atLeast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ASSESSMENT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CRITERIA</w:t>
            </w:r>
          </w:p>
        </w:tc>
      </w:tr>
      <w:tr>
        <w:trPr>
          <w:trHeight w:val="567" w:hRule="atLeast"/>
          <w:cantSplit w:val="true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6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17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67" w:hRule="atLeast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widowControl/>
        <w:bidi w:val="0"/>
        <w:spacing w:lineRule="auto" w:line="256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Aptos" w:hAnsi="Aptos" w:eastAsia="Aptos" w:cs=""/>
      <w:color w:val="auto"/>
      <w:kern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2025-02-26T11:55:00Z</dcterms:created>
  <dc:creator>Somerville, Colin</dc:creator>
  <dc:description/>
  <dc:language>en-US</dc:language>
  <cp:lastModifiedBy>Howarth, Nicole (HR)</cp:lastModifiedBy>
  <cp:lastPrinted>1995-11-21T17:41:00Z</cp:lastPrinted>
  <dcterms:modified xsi:type="dcterms:W3CDTF">2025-02-26T11:55:00Z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0x010100AEB7679D6AD7B7498692499678726C19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345900</vt:i4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xd_Signature">
    <vt:bool>0</vt:bool>
  </property>
</Properties>
</file>