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 xml:space="preserve">PRINCIPAL POLICY OFFICER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support the council’s approach to performance /intelligence, partnership working, agile and transformational project management.</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Strategy &amp; Policy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Senior Policy Officer and  other officers as directed by the Head of Service or Strategy &amp; Policy Managers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0"/>
        <w:gridCol w:w="5069"/>
      </w:tblGrid>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Assist the Strategy &amp; Policy Manager to deliver an effective performance management framework for the council, Bolton Vision Partnership and  other identified stakeholders.  This will include:</w:t>
            </w:r>
          </w:p>
          <w:p>
            <w:pPr>
              <w:pStyle w:val="ListParagraph"/>
              <w:numPr>
                <w:ilvl w:val="0"/>
                <w:numId w:val="1"/>
              </w:numPr>
              <w:spacing w:lineRule="auto" w:line="240" w:before="0" w:after="0"/>
              <w:contextualSpacing/>
              <w:jc w:val="both"/>
              <w:rPr>
                <w:rFonts w:eastAsia="Calibri" w:cs="Arial"/>
              </w:rPr>
            </w:pPr>
            <w:r>
              <w:rPr>
                <w:rFonts w:eastAsia="Calibri" w:cs="Arial"/>
              </w:rPr>
              <w:t>Supporting the delivery of the Directorate, Corporate and Vision Plan(s)to enable the council to meet its ambitions and goals to modernise services, evolve partnership working and reflect best practice against a face changing socio-economic and environmental backdrop.</w:t>
            </w:r>
          </w:p>
          <w:p>
            <w:pPr>
              <w:pStyle w:val="ListParagraph"/>
              <w:numPr>
                <w:ilvl w:val="0"/>
                <w:numId w:val="1"/>
              </w:numPr>
              <w:spacing w:lineRule="auto" w:line="240" w:before="0" w:after="0"/>
              <w:contextualSpacing/>
              <w:jc w:val="both"/>
              <w:rPr>
                <w:rFonts w:eastAsia="Calibri" w:cs="Arial"/>
              </w:rPr>
            </w:pPr>
            <w:r>
              <w:rPr>
                <w:rFonts w:eastAsia="Calibri" w:cs="Arial"/>
              </w:rPr>
              <w:t xml:space="preserve">Support to the Bolton Vision Partnership, including its plans and evolving performance framework. </w:t>
            </w:r>
          </w:p>
          <w:p>
            <w:pPr>
              <w:pStyle w:val="ListParagraph"/>
              <w:numPr>
                <w:ilvl w:val="0"/>
                <w:numId w:val="1"/>
              </w:numPr>
              <w:spacing w:lineRule="auto" w:line="240" w:before="0" w:after="0"/>
              <w:contextualSpacing/>
              <w:jc w:val="both"/>
              <w:rPr>
                <w:rFonts w:eastAsia="Calibri" w:cs="Arial"/>
              </w:rPr>
            </w:pPr>
            <w:r>
              <w:rPr>
                <w:rFonts w:eastAsia="Calibri" w:cs="Arial"/>
              </w:rPr>
              <w:t xml:space="preserve">Support to ensure that the organisation’s performance management systems are properly and meaningfully delivered in relation to council priorities and other relevant strategic objectives, including quarterly service, directorate and corporate performance reports and annual strategic outturn reports. </w:t>
            </w:r>
          </w:p>
          <w:p>
            <w:pPr>
              <w:pStyle w:val="ListParagraph"/>
              <w:numPr>
                <w:ilvl w:val="0"/>
                <w:numId w:val="1"/>
              </w:numPr>
              <w:spacing w:lineRule="auto" w:line="240" w:before="0" w:after="0"/>
              <w:contextualSpacing/>
              <w:jc w:val="both"/>
              <w:rPr>
                <w:rFonts w:eastAsia="Calibri" w:cs="Arial"/>
              </w:rPr>
            </w:pPr>
            <w:r>
              <w:rPr>
                <w:rFonts w:eastAsia="Calibri" w:cs="Arial"/>
              </w:rPr>
              <w:t>To ensure that performance systems utilised, remain fit for purpose, reflect best practice across the sector and represent best value in use of resources.</w:t>
            </w:r>
          </w:p>
          <w:p>
            <w:pPr>
              <w:pStyle w:val="ListParagraph"/>
              <w:numPr>
                <w:ilvl w:val="0"/>
                <w:numId w:val="1"/>
              </w:numPr>
              <w:spacing w:lineRule="auto" w:line="240" w:before="0" w:after="0"/>
              <w:contextualSpacing/>
              <w:jc w:val="both"/>
              <w:rPr>
                <w:rFonts w:eastAsia="Calibri" w:cs="Arial"/>
              </w:rPr>
            </w:pPr>
            <w:r>
              <w:rPr>
                <w:rFonts w:eastAsia="Calibri" w:cs="Arial"/>
              </w:rPr>
              <w:t>To support the development, maintenance and use of visualisation of performance/intelligence using a range of media and tools to improve decision making within the council and across relevant partnerships.</w:t>
            </w:r>
          </w:p>
          <w:p>
            <w:pPr>
              <w:pStyle w:val="ListParagraph"/>
              <w:numPr>
                <w:ilvl w:val="0"/>
                <w:numId w:val="1"/>
              </w:numPr>
              <w:spacing w:lineRule="auto" w:line="240" w:before="0" w:after="0"/>
              <w:contextualSpacing/>
              <w:jc w:val="both"/>
              <w:rPr>
                <w:rFonts w:eastAsia="Calibri" w:cs="Arial"/>
              </w:rPr>
            </w:pPr>
            <w:r>
              <w:rPr>
                <w:rFonts w:eastAsia="Calibri" w:cs="Arial"/>
              </w:rPr>
              <w:t>Establishing and maintaining high performance standards,  holding self and others to account for their performance.</w:t>
            </w:r>
          </w:p>
          <w:p>
            <w:pPr>
              <w:pStyle w:val="Normal"/>
              <w:spacing w:lineRule="auto" w:line="240" w:before="0" w:after="0"/>
              <w:jc w:val="both"/>
              <w:rPr>
                <w:rFonts w:ascii="Arial" w:hAnsi="Arial" w:cs="Arial"/>
                <w:b/>
                <w:b/>
              </w:rPr>
            </w:pPr>
            <w:r>
              <w:rPr>
                <w:rFonts w:cs="Arial" w:ascii="Arial" w:hAnsi="Arial"/>
                <w:b/>
              </w:rPr>
            </w:r>
          </w:p>
        </w:tc>
      </w:tr>
      <w:tr>
        <w:trPr>
          <w:trHeight w:val="699"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Support the Strategy &amp; Policy Manager to plan and co-ordinate the council’s work with the voluntary and community sector in Bolton.  This will include:</w:t>
            </w:r>
          </w:p>
          <w:p>
            <w:pPr>
              <w:pStyle w:val="ListParagraph"/>
              <w:numPr>
                <w:ilvl w:val="0"/>
                <w:numId w:val="2"/>
              </w:numPr>
              <w:spacing w:lineRule="auto" w:line="240" w:before="0" w:after="0"/>
              <w:contextualSpacing/>
              <w:rPr>
                <w:rFonts w:cs="Arial"/>
              </w:rPr>
            </w:pPr>
            <w:r>
              <w:rPr>
                <w:rFonts w:cs="Arial"/>
              </w:rPr>
              <w:t>Helping to deliver both the council and the sector’s agreed priorities through the development and implementation of a local Voluntary Sector Strategy.</w:t>
            </w:r>
          </w:p>
          <w:p>
            <w:pPr>
              <w:pStyle w:val="ListParagraph"/>
              <w:numPr>
                <w:ilvl w:val="0"/>
                <w:numId w:val="2"/>
              </w:numPr>
              <w:spacing w:lineRule="auto" w:line="240" w:before="0" w:after="0"/>
              <w:contextualSpacing/>
              <w:rPr>
                <w:rFonts w:cs="Arial"/>
              </w:rPr>
            </w:pPr>
            <w:r>
              <w:rPr>
                <w:rFonts w:cs="Arial"/>
              </w:rPr>
              <w:t>Assist with the development and implementation of Bolton’s Fund including managing funding arrangements and codesign and coproduction of programmes.</w:t>
            </w:r>
          </w:p>
          <w:p>
            <w:pPr>
              <w:pStyle w:val="ListParagraph"/>
              <w:numPr>
                <w:ilvl w:val="0"/>
                <w:numId w:val="2"/>
              </w:numPr>
              <w:spacing w:lineRule="auto" w:line="240" w:before="0" w:after="0"/>
              <w:contextualSpacing/>
              <w:rPr>
                <w:rFonts w:cs="Arial"/>
              </w:rPr>
            </w:pPr>
            <w:r>
              <w:rPr>
                <w:rFonts w:cs="Arial"/>
              </w:rPr>
              <w:t>Supporting the council’s approach to community cohesion activity by engaging with relevant colleagues and stakeholders and helping to ensure that this activity informs and reflects Vision 2030 outcomes. Developing and maintaining strong and effective relationships with key groups and individuals in the sector.</w:t>
            </w:r>
          </w:p>
        </w:tc>
      </w:tr>
      <w:tr>
        <w:trPr>
          <w:trHeight w:val="3397"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Support improvement and transformational activity across the council and partnership.  This will include: </w:t>
            </w:r>
          </w:p>
          <w:p>
            <w:pPr>
              <w:pStyle w:val="ListParagraph"/>
              <w:numPr>
                <w:ilvl w:val="0"/>
                <w:numId w:val="3"/>
              </w:numPr>
              <w:spacing w:lineRule="auto" w:line="240" w:before="0" w:after="0"/>
              <w:contextualSpacing/>
              <w:rPr>
                <w:rFonts w:eastAsia="Calibri" w:cs="Arial"/>
              </w:rPr>
            </w:pPr>
            <w:r>
              <w:rPr>
                <w:rFonts w:eastAsia="Calibri" w:cs="Arial"/>
              </w:rPr>
              <w:t>Helping to co-ordinate sector led improvement activity, including Local Government Association reviews and similar.</w:t>
            </w:r>
          </w:p>
          <w:p>
            <w:pPr>
              <w:pStyle w:val="ListParagraph"/>
              <w:numPr>
                <w:ilvl w:val="0"/>
                <w:numId w:val="3"/>
              </w:numPr>
              <w:spacing w:lineRule="auto" w:line="240" w:before="0" w:after="0"/>
              <w:contextualSpacing/>
              <w:rPr>
                <w:rFonts w:eastAsia="Calibri" w:cs="Arial"/>
              </w:rPr>
            </w:pPr>
            <w:r>
              <w:rPr>
                <w:rFonts w:eastAsia="Calibri" w:cs="Arial"/>
              </w:rPr>
              <w:t>Using a variety of data and information sources to develop policy and procedural responses in a fast paced environment.</w:t>
            </w:r>
          </w:p>
          <w:p>
            <w:pPr>
              <w:pStyle w:val="ListParagraph"/>
              <w:numPr>
                <w:ilvl w:val="0"/>
                <w:numId w:val="3"/>
              </w:numPr>
              <w:spacing w:lineRule="auto" w:line="240" w:before="0" w:after="0"/>
              <w:contextualSpacing/>
              <w:rPr>
                <w:rFonts w:eastAsia="Calibri" w:cs="Arial"/>
              </w:rPr>
            </w:pPr>
            <w:r>
              <w:rPr>
                <w:rFonts w:eastAsia="Calibri" w:cs="Arial"/>
              </w:rPr>
              <w:t xml:space="preserve">Develop and deliver transformational project based activities as directed by the Head of Service or Strategy &amp; Policy Manager. </w:t>
            </w:r>
          </w:p>
          <w:p>
            <w:pPr>
              <w:pStyle w:val="ListParagraph"/>
              <w:numPr>
                <w:ilvl w:val="0"/>
                <w:numId w:val="3"/>
              </w:numPr>
              <w:spacing w:lineRule="auto" w:line="240" w:before="0" w:after="0"/>
              <w:contextualSpacing/>
              <w:rPr>
                <w:rFonts w:cs="Arial"/>
              </w:rPr>
            </w:pPr>
            <w:r>
              <w:rPr>
                <w:rFonts w:cs="Arial"/>
              </w:rPr>
              <w:t>Supporting tasks and activities from the evolving Greater Manchester agenda where directed to.</w:t>
            </w:r>
          </w:p>
          <w:p>
            <w:pPr>
              <w:pStyle w:val="Normal"/>
              <w:spacing w:lineRule="auto" w:line="240" w:before="0" w:after="0"/>
              <w:rPr>
                <w:rFonts w:cs="Arial"/>
              </w:rPr>
            </w:pPr>
            <w:r>
              <w:rPr>
                <w:rFonts w:cs="Arial"/>
              </w:rPr>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Support the Strategy &amp; Policy Manager and the Principal Consultation and Engagement Officer with priority work where required to provide capacity where necessary to ensure</w:t>
            </w:r>
            <w:r>
              <w:rPr>
                <w:rFonts w:eastAsia="Calibri" w:cs="Arial" w:ascii="Arial" w:hAnsi="Arial"/>
              </w:rPr>
              <w:t xml:space="preserve"> our strategy and practice meets our statutory obligations under the Equalities Act 2010.</w:t>
            </w:r>
          </w:p>
          <w:p>
            <w:pPr>
              <w:pStyle w:val="Normal"/>
              <w:spacing w:lineRule="auto" w:line="240" w:before="0" w:after="0"/>
              <w:jc w:val="both"/>
              <w:rPr>
                <w:rFonts w:ascii="Arial" w:hAnsi="Arial" w:eastAsia="Arial" w:cs="Arial"/>
              </w:rPr>
            </w:pPr>
            <w:r>
              <w:rPr>
                <w:rFonts w:eastAsia="Arial" w:cs="Arial" w:ascii="Arial" w:hAnsi="Arial"/>
              </w:rPr>
              <w:t xml:space="preserve"> </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Support the Strategy &amp; Policy Manager to undertake relevant procurement exercises and the contract management activity that follows.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Where appropriate contribute to a learning culture within the Division, Directorate and Council and be prepared to share learning.</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Ensure that you have up to date knowledge and understanding to articulate how the work of the team contributes to the objectives of the Division, Department and Council in a range of settings.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Deputise for the Strategy &amp; Policy Manager and represent the Division and Directorate at meetings as required.</w:t>
            </w:r>
          </w:p>
        </w:tc>
      </w:tr>
      <w:tr>
        <w:trPr/>
        <w:tc>
          <w:tcPr>
            <w:tcW w:w="4568"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January 2024</w:t>
            </w:r>
          </w:p>
        </w:tc>
      </w:tr>
      <w:tr>
        <w:trPr/>
        <w:tc>
          <w:tcPr>
            <w:tcW w:w="4568"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Description updated by:</w:t>
            </w:r>
          </w:p>
        </w:tc>
        <w:tc>
          <w:tcPr>
            <w:tcW w:w="50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Head of Strategy, Policy and Area Working</w:t>
            </w:r>
          </w:p>
        </w:tc>
      </w:tr>
    </w:tbl>
    <w:p>
      <w:pPr>
        <w:sectPr>
          <w:footerReference w:type="default" r:id="rId3"/>
          <w:type w:val="nextPage"/>
          <w:pgSz w:w="11906" w:h="16838"/>
          <w:pgMar w:left="1134" w:right="1134" w:header="0"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10075" w:type="dxa"/>
        <w:jc w:val="left"/>
        <w:tblInd w:w="0" w:type="dxa"/>
        <w:tblCellMar>
          <w:top w:w="0" w:type="dxa"/>
          <w:left w:w="108" w:type="dxa"/>
          <w:bottom w:w="0" w:type="dxa"/>
          <w:right w:w="108" w:type="dxa"/>
        </w:tblCellMar>
      </w:tblPr>
      <w:tblGrid>
        <w:gridCol w:w="705"/>
        <w:gridCol w:w="955"/>
        <w:gridCol w:w="4826"/>
        <w:gridCol w:w="3579"/>
        <w:gridCol w:w="10"/>
      </w:tblGrid>
      <w:tr>
        <w:trPr/>
        <w:tc>
          <w:tcPr>
            <w:tcW w:w="1660"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405" w:type="dxa"/>
            <w:gridSpan w:val="2"/>
            <w:tcBorders/>
            <w:shd w:fill="auto" w:val="clear"/>
          </w:tcPr>
          <w:p>
            <w:pPr>
              <w:pStyle w:val="Normal"/>
              <w:spacing w:before="60" w:after="60"/>
              <w:rPr>
                <w:rFonts w:ascii="Arial" w:hAnsi="Arial" w:cs="Arial"/>
                <w:b/>
                <w:b/>
              </w:rPr>
            </w:pPr>
            <w:r>
              <w:rPr>
                <w:rFonts w:cs="Arial" w:ascii="Arial" w:hAnsi="Arial"/>
                <w:b/>
              </w:rPr>
              <w:t>CORPORATE RESOURCES</w:t>
            </w:r>
          </w:p>
        </w:tc>
      </w:tr>
      <w:tr>
        <w:trPr/>
        <w:tc>
          <w:tcPr>
            <w:tcW w:w="1660"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405" w:type="dxa"/>
            <w:gridSpan w:val="2"/>
            <w:tcBorders>
              <w:bottom w:val="single" w:sz="4" w:space="0" w:color="000000"/>
            </w:tcBorders>
            <w:shd w:fill="auto" w:val="clear"/>
          </w:tcPr>
          <w:p>
            <w:pPr>
              <w:pStyle w:val="Normal"/>
              <w:spacing w:before="60" w:after="60"/>
              <w:rPr>
                <w:rFonts w:ascii="Arial" w:hAnsi="Arial" w:cs="Arial"/>
                <w:b/>
                <w:b/>
                <w:bCs/>
              </w:rPr>
            </w:pPr>
            <w:r>
              <w:rPr>
                <w:rFonts w:cs="Arial" w:ascii="Arial" w:hAnsi="Arial"/>
                <w:b/>
                <w:bCs/>
              </w:rPr>
              <w:t>PRINCIPAL POLICY OFFICER</w:t>
            </w:r>
          </w:p>
        </w:tc>
      </w:tr>
      <w:tr>
        <w:trPr/>
        <w:tc>
          <w:tcPr>
            <w:tcW w:w="1660" w:type="dxa"/>
            <w:gridSpan w:val="2"/>
            <w:tcBorders>
              <w:top w:val="single" w:sz="4" w:space="0" w:color="000000"/>
              <w:left w:val="single" w:sz="4" w:space="0" w:color="000000"/>
              <w:bottom w:val="single" w:sz="4" w:space="0" w:color="000000"/>
            </w:tcBorders>
            <w:shd w:fill="auto" w:val="clear"/>
          </w:tcPr>
          <w:p>
            <w:pPr>
              <w:pStyle w:val="Normal"/>
              <w:spacing w:before="60" w:after="240"/>
              <w:jc w:val="both"/>
              <w:rPr>
                <w:rFonts w:ascii="Arial" w:hAnsi="Arial" w:cs="Arial"/>
                <w:b/>
                <w:b/>
              </w:rPr>
            </w:pPr>
            <w:r>
              <w:rPr>
                <w:rFonts w:cs="Arial" w:ascii="Arial" w:hAnsi="Arial"/>
                <w:b/>
              </w:rPr>
              <w:t>Stage One</w:t>
            </w:r>
          </w:p>
        </w:tc>
        <w:tc>
          <w:tcPr>
            <w:tcW w:w="841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3"/>
            <w:tcBorders>
              <w:top w:val="single" w:sz="4" w:space="0" w:color="000000"/>
              <w:lef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Method of Assessment</w:t>
            </w:r>
          </w:p>
        </w:tc>
      </w:tr>
      <w:tr>
        <w:trPr>
          <w:cantSplit w:val="true"/>
        </w:trPr>
        <w:tc>
          <w:tcPr>
            <w:tcW w:w="705" w:type="dxa"/>
            <w:tcBorders>
              <w:bottom w:val="single" w:sz="4" w:space="0" w:color="000000"/>
            </w:tcBorders>
            <w:shd w:fill="D9D9D9" w:val="clear"/>
          </w:tcPr>
          <w:p>
            <w:pPr>
              <w:pStyle w:val="Normal"/>
              <w:spacing w:before="60" w:after="60"/>
              <w:jc w:val="both"/>
              <w:rPr>
                <w:rFonts w:ascii="Arial" w:hAnsi="Arial" w:cs="Arial"/>
                <w:b/>
                <w:b/>
              </w:rPr>
            </w:pPr>
            <w:r>
              <w:rPr>
                <w:rFonts w:cs="Arial" w:ascii="Arial" w:hAnsi="Arial"/>
                <w:b/>
              </w:rPr>
              <w:t>1.</w:t>
            </w:r>
          </w:p>
        </w:tc>
        <w:tc>
          <w:tcPr>
            <w:tcW w:w="9360" w:type="dxa"/>
            <w:gridSpan w:val="3"/>
            <w:tcBorders>
              <w:bottom w:val="single" w:sz="4" w:space="0" w:color="000000"/>
            </w:tcBorders>
            <w:shd w:fill="D9D9D9" w:val="clear"/>
          </w:tcPr>
          <w:p>
            <w:pPr>
              <w:pStyle w:val="Normal"/>
              <w:spacing w:before="60" w:after="60"/>
              <w:jc w:val="both"/>
              <w:rPr>
                <w:rFonts w:ascii="Arial" w:hAnsi="Arial" w:cs="Arial"/>
                <w:b/>
                <w:b/>
              </w:rPr>
            </w:pPr>
            <w:r>
              <w:rPr>
                <w:rFonts w:cs="Arial" w:ascii="Arial" w:hAnsi="Arial"/>
                <w:b/>
              </w:rPr>
              <w:t>Skills and Knowledge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2"/>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Detailed understanding of the national, regional and local policy agenda facing local government and the public sector</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Form/Interview/Test/Presentation/Assessment Centre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81" w:type="dxa"/>
            <w:gridSpan w:val="2"/>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Detailed understanding of business planning and performance management principles and approaches</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Form/Interview/Test/Presentation/Assessment Centre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81" w:type="dxa"/>
            <w:gridSpan w:val="2"/>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Good understanding of the complex issues around securing better outcomes and the relationships between prosperity, deprivation, inequality and community cohesion.  Working knowledge of our statutory commitments under the Equalities Act 2010.</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Form/Interview/Test/Presentation/Assessment Centre</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81" w:type="dxa"/>
            <w:gridSpan w:val="2"/>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The ability to think strategically, analyse complex issues and develop practical effective solutions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Form/Interview/Test/Presentation/Assessment Centre</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781" w:type="dxa"/>
            <w:gridSpan w:val="2"/>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Good understanding and knowledge of the political, leadership and management issues facing large and complex councils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Form/Interview/Test/Presentation/Assessment Centre</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781" w:type="dxa"/>
            <w:gridSpan w:val="2"/>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Highly developed inter-personal and communication skills and the ability to engage effectively with managers and staff from the council and partners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Form/Interview/Test/Presentation/Assessment Centre</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781" w:type="dxa"/>
            <w:gridSpan w:val="2"/>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Strong project management skills and the ability to lead others in the delivery of complex corporate projects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Form/Interview/Test/Presentation/Assessment Centre</w:t>
            </w:r>
          </w:p>
        </w:tc>
      </w:tr>
      <w:tr>
        <w:trPr>
          <w:cantSplit w:val="true"/>
        </w:trPr>
        <w:tc>
          <w:tcPr>
            <w:tcW w:w="705" w:type="dxa"/>
            <w:tcBorders/>
            <w:shd w:fill="auto" w:val="clear"/>
          </w:tcPr>
          <w:p>
            <w:pPr>
              <w:pStyle w:val="Normal"/>
              <w:snapToGrid w:val="false"/>
              <w:spacing w:before="120" w:after="120"/>
              <w:jc w:val="both"/>
              <w:rPr>
                <w:rFonts w:ascii="Arial" w:hAnsi="Arial" w:cs="Arial"/>
              </w:rPr>
            </w:pPr>
            <w:r>
              <w:rPr>
                <w:rFonts w:cs="Arial" w:ascii="Arial" w:hAnsi="Arial"/>
              </w:rPr>
            </w:r>
          </w:p>
        </w:tc>
        <w:tc>
          <w:tcPr>
            <w:tcW w:w="5781" w:type="dxa"/>
            <w:gridSpan w:val="2"/>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79" w:type="dxa"/>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business planning and performance management in a similar organisation.</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Form/Interview/Test/Presentation/Assessment Centre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 relevant degree level qualification</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Form/Certificate </w:t>
            </w:r>
          </w:p>
        </w:tc>
      </w:tr>
      <w:tr>
        <w:trPr>
          <w:cantSplit w:val="true"/>
        </w:trPr>
        <w:tc>
          <w:tcPr>
            <w:tcW w:w="10075"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3.</w:t>
              <w:tab/>
              <w:t>Work Related Circumstances</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updated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January 2024</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updated by</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Head of Strategy, Policy and Area Working</w:t>
            </w:r>
          </w:p>
        </w:tc>
      </w:tr>
    </w:tbl>
    <w:p>
      <w:pPr>
        <w:pStyle w:val="Normal"/>
        <w:spacing w:lineRule="auto" w:line="240" w:before="0" w:after="0"/>
        <w:rPr>
          <w:rFonts w:ascii="Arial" w:hAnsi="Arial" w:cs="Arial"/>
          <w:b/>
          <w:b/>
        </w:rPr>
      </w:pPr>
      <w:r>
        <w:rPr>
          <w:rFonts w:cs="Arial" w:ascii="Arial" w:hAnsi="Arial"/>
          <w:b/>
        </w:rPr>
      </w:r>
    </w:p>
    <w:p>
      <w:pPr>
        <w:sectPr>
          <w:footerReference w:type="default" r:id="rId4"/>
          <w:type w:val="nextPage"/>
          <w:pgSz w:w="11906" w:h="16838"/>
          <w:pgMar w:left="1134" w:right="1134" w:header="0"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footerReference w:type="default" r:id="rId5"/>
          <w:type w:val="nextPage"/>
          <w:pgSz w:w="11906" w:h="16838"/>
          <w:pgMar w:left="1134" w:right="1134" w:header="0"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7"/>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8"/>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9"/>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0"/>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2024-06-06T14:50:00Z</dcterms:created>
  <dc:creator>Johnson, Andrew</dc:creator>
  <dc:description/>
  <dc:language>en-US</dc:language>
  <cp:lastModifiedBy>Warriner, Kelly</cp:lastModifiedBy>
  <cp:lastPrinted>1995-11-21T17:41:00Z</cp:lastPrinted>
  <dcterms:modified xsi:type="dcterms:W3CDTF">2026-05-07T10:05:00Z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6300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