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eastAsia="Calibri" w:cs="Calibri"/>
        </w:rPr>
      </w:pPr>
      <w:r>
        <w:rPr>
          <w:rFonts w:eastAsia="Calibri" w:cs="Calibri"/>
        </w:rPr>
        <w:t xml:space="preserve"> </w:t>
      </w:r>
    </w:p>
    <w:p>
      <w:pPr>
        <w:pStyle w:val="Normal"/>
        <w:rPr>
          <w:b/>
          <w:b/>
          <w:bCs/>
          <w:sz w:val="40"/>
          <w:szCs w:val="40"/>
        </w:rPr>
      </w:pP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cHILDREN’S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jc w:val="both"/>
              <w:rPr>
                <w:rFonts w:ascii="Arial" w:hAnsi="Arial" w:cs="Arial"/>
              </w:rPr>
            </w:pPr>
            <w:r>
              <w:rPr>
                <w:rFonts w:cs="Arial" w:ascii="Arial" w:hAnsi="Arial"/>
              </w:rPr>
              <w:t>SOCIAL WORKER – Integrated Front Door - Referral and Assessment Service (Children’s)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GRADE H – I</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provide and enable the Department to provide an efficient and effective social work duty service. In doing so, the main purpose of the job is to complete Contacts and Referrals and make decisions regarding children being in need of statutory or early help support using the Threshold Document.</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Team Manager – Integrated Front Door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None</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The provision of a purposeful, professional social work duty service to children and families and partner agencies within the Integrated Front Door in accordance with statutory requirements and Departmental Policies.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contribute to the planning and development of the Team’s and the Department’s Referral and Assessment Services as required and as appropriate.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participate in the organisation and administration of the work of the post so that the job of providing the service gets done.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provide management information to assist in the setting, implementing, and monitoring of the Department’s strategies and services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contribute to the allocation of the work of the Team.</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participate in providing a duty service to all office visitors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gather information to decide if Section 47 (Child Protection) enquiries are required or if a children and family needs assessment is needed.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To work directly with partner agencies and families offering advice and guidance using a range of social work knowledge and skills,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contribute to ‘front door’ duty provision which involves the provision of generic advice and information to all office callers.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arrange services and screen referrals which require further assessment.</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 xml:space="preserve">December 2023 </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 xml:space="preserve">Job Description prepared by: S Gatenby </w:t>
            </w:r>
          </w:p>
        </w:tc>
        <w:tc>
          <w:tcPr>
            <w:tcW w:w="5065" w:type="dxa"/>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c>
      </w:tr>
      <w:tr>
        <w:trPr/>
        <w:tc>
          <w:tcPr>
            <w:tcW w:w="4572"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5065"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rPr>
          <w:rFonts w:ascii="Arial" w:hAnsi="Arial" w:cs="Arial"/>
          <w:b/>
          <w:b/>
          <w:bCs/>
          <w:u w:val="single"/>
        </w:rPr>
      </w:pPr>
      <w:r>
        <w:rPr>
          <w:rFonts w:cs="Arial" w:ascii="Arial" w:hAnsi="Arial"/>
          <w:b/>
          <w:bCs/>
          <w:u w:val="single"/>
        </w:rPr>
        <w:t>Criteria for appointment at Grade I (Senior Social Workers)</w:t>
      </w:r>
    </w:p>
    <w:p>
      <w:pPr>
        <w:pStyle w:val="Normal"/>
        <w:rPr>
          <w:rFonts w:ascii="Arial" w:hAnsi="Arial" w:cs="Arial"/>
        </w:rPr>
      </w:pPr>
      <w:r>
        <w:rPr>
          <w:rFonts w:cs="Arial" w:ascii="Arial" w:hAnsi="Arial"/>
        </w:rPr>
        <w:t>(Grade I) experienced Social Workers (Senior Social Workers) are expected to demonstrate expert and effective practice in complex situations, assessing and managing high levels of risk, striking a balance between support and control, liaising with a wide range of professionals, including more senior levels. They manage complex caseloads and offer expert opinion within the organisation and to others. They chair a range of meetings and offer expert support to case conferences or Looked After Children’s Review Meetings. They will model good practice, thus setting expectations for others, and support and mentor others with their practice.</w:t>
      </w:r>
    </w:p>
    <w:p>
      <w:pPr>
        <w:pStyle w:val="Normal"/>
        <w:rPr>
          <w:rFonts w:ascii="Arial" w:hAnsi="Arial" w:cs="Arial"/>
        </w:rPr>
      </w:pPr>
      <w:r>
        <w:rPr>
          <w:rFonts w:cs="Arial" w:ascii="Arial" w:hAnsi="Arial"/>
        </w:rPr>
        <w:t>Appointment to Grade I for Social Workers in Bolton will be made in cases where qualified and experienced Social Worker applicants provides documentary evidence that they have progressed through the ‘bar’ with a previous employer through a portfolio and evidence process, with their progression having been confirmed by a progression panel.</w:t>
      </w:r>
    </w:p>
    <w:p>
      <w:pPr>
        <w:pStyle w:val="Normal"/>
        <w:rPr>
          <w:rFonts w:ascii="Arial" w:hAnsi="Arial" w:cs="Arial"/>
        </w:rPr>
      </w:pPr>
      <w:r>
        <w:rPr>
          <w:rFonts w:cs="Arial" w:ascii="Arial" w:hAnsi="Arial"/>
        </w:rPr>
        <w:t>Progression to Grade I for existing Grade H Social Workers in Bolton will be achieved by successful completion of the Progression Pathway.</w:t>
      </w:r>
    </w:p>
    <w:p>
      <w:pPr>
        <w:pStyle w:val="Normal"/>
        <w:rPr>
          <w:rFonts w:ascii="Arial" w:hAnsi="Arial" w:cs="Arial"/>
        </w:rPr>
      </w:pPr>
      <w:r>
        <w:rPr>
          <w:rFonts w:cs="Arial" w:ascii="Arial" w:hAnsi="Arial"/>
        </w:rPr>
        <w:t>Should you have any queries relating to this information, please speak to the recruiting manager or the Departmental HR Team.</w:t>
      </w:r>
    </w:p>
    <w:p>
      <w:pPr>
        <w:pStyle w:val="Normal"/>
        <w:rPr>
          <w:rFonts w:ascii="Arial" w:hAnsi="Arial" w:cs="Arial"/>
        </w:rPr>
      </w:pPr>
      <w:r>
        <w:rPr>
          <w:rFonts w:cs="Arial" w:ascii="Arial" w:hAnsi="Arial"/>
        </w:rPr>
        <w:t>Updated: November 2023</w:t>
      </w:r>
      <w:r>
        <w:br w:type="page"/>
      </w:r>
    </w:p>
    <w:p>
      <w:pPr>
        <w:pStyle w:val="Normal"/>
        <w:spacing w:lineRule="auto" w:line="256" w:before="0" w:after="160"/>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74"/>
        <w:gridCol w:w="914"/>
        <w:gridCol w:w="136"/>
        <w:gridCol w:w="4088"/>
        <w:gridCol w:w="396"/>
        <w:gridCol w:w="3420"/>
        <w:gridCol w:w="10"/>
      </w:tblGrid>
      <w:tr>
        <w:trPr/>
        <w:tc>
          <w:tcPr>
            <w:tcW w:w="1588" w:type="dxa"/>
            <w:gridSpan w:val="2"/>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40" w:type="dxa"/>
            <w:gridSpan w:val="4"/>
            <w:tcBorders/>
            <w:shd w:fill="auto" w:val="clear"/>
          </w:tcPr>
          <w:p>
            <w:pPr>
              <w:pStyle w:val="Normal"/>
              <w:spacing w:lineRule="auto" w:line="240" w:before="60" w:after="60"/>
              <w:rPr>
                <w:rFonts w:ascii="Arial" w:hAnsi="Arial" w:cs="Arial"/>
                <w:b/>
                <w:b/>
                <w:caps/>
              </w:rPr>
            </w:pPr>
            <w:r>
              <w:rPr>
                <w:rFonts w:cs="Arial" w:ascii="Arial" w:hAnsi="Arial"/>
                <w:b/>
                <w:caps/>
              </w:rPr>
              <w:t xml:space="preserve">cHILDREN’S SERVICES </w:t>
            </w:r>
          </w:p>
        </w:tc>
      </w:tr>
      <w:tr>
        <w:trPr/>
        <w:tc>
          <w:tcPr>
            <w:tcW w:w="1588" w:type="dxa"/>
            <w:gridSpan w:val="2"/>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40" w:type="dxa"/>
            <w:gridSpan w:val="4"/>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SOCIAL WORKER- REFERRAL AND ASSESSMENT (cHILDREN)</w:t>
            </w:r>
          </w:p>
        </w:tc>
      </w:tr>
      <w:tr>
        <w:trPr/>
        <w:tc>
          <w:tcPr>
            <w:tcW w:w="1588" w:type="dxa"/>
            <w:gridSpan w:val="2"/>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5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8" w:type="dxa"/>
            <w:gridSpan w:val="5"/>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0"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74"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54" w:type="dxa"/>
            <w:gridSpan w:val="5"/>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34" w:type="dxa"/>
            <w:gridSpan w:val="4"/>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Knowledge of Social Work Law and Practice, particularly in relation to referral and assessment. </w:t>
            </w:r>
          </w:p>
        </w:tc>
        <w:tc>
          <w:tcPr>
            <w:tcW w:w="342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34" w:type="dxa"/>
            <w:gridSpan w:val="4"/>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Knowledge of short term interventions, applying appropriate methods and techniques in order to deliver improved outcomes for children. </w:t>
            </w:r>
          </w:p>
        </w:tc>
        <w:tc>
          <w:tcPr>
            <w:tcW w:w="342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34" w:type="dxa"/>
            <w:gridSpan w:val="4"/>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Ability to interpret policy and provide appropriate advice and guidance to a variety of stakeholders and service users. </w:t>
            </w:r>
          </w:p>
        </w:tc>
        <w:tc>
          <w:tcPr>
            <w:tcW w:w="342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34" w:type="dxa"/>
            <w:gridSpan w:val="4"/>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An up to date understanding of child protection issues in order to undertake child protection enquiries.</w:t>
            </w:r>
          </w:p>
        </w:tc>
        <w:tc>
          <w:tcPr>
            <w:tcW w:w="3420"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34" w:type="dxa"/>
            <w:gridSpan w:val="4"/>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Demonstrate effective verbal and written communication skills in order to complete Contacts and Referrals, including analysis to reach conclusions and articulate this information as appropriate. </w:t>
            </w:r>
          </w:p>
        </w:tc>
        <w:tc>
          <w:tcPr>
            <w:tcW w:w="3420"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34" w:type="dxa"/>
            <w:gridSpan w:val="4"/>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Demonstrate effective problem solving and decision-making skills by applying solutions that contribute to appropriate outcomes for children and families. </w:t>
            </w:r>
          </w:p>
        </w:tc>
        <w:tc>
          <w:tcPr>
            <w:tcW w:w="3420"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34" w:type="dxa"/>
            <w:gridSpan w:val="4"/>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Ability to work as part of a team and on own initiative in order to meet service objectives and assessment timescales. </w:t>
            </w:r>
          </w:p>
        </w:tc>
        <w:tc>
          <w:tcPr>
            <w:tcW w:w="3420"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8. </w:t>
            </w:r>
          </w:p>
        </w:tc>
        <w:tc>
          <w:tcPr>
            <w:tcW w:w="5534" w:type="dxa"/>
            <w:gridSpan w:val="4"/>
            <w:tcBorders>
              <w:bottom w:val="single" w:sz="4" w:space="0" w:color="000000"/>
            </w:tcBorders>
            <w:shd w:fill="auto" w:val="clear"/>
          </w:tcPr>
          <w:p>
            <w:pPr>
              <w:pStyle w:val="Normal"/>
              <w:spacing w:lineRule="auto" w:line="240" w:before="120" w:after="120"/>
              <w:ind w:left="0" w:right="175" w:hanging="0"/>
              <w:rPr/>
            </w:pPr>
            <w:r>
              <w:rPr>
                <w:rFonts w:cs="Arial" w:ascii="Arial" w:hAnsi="Arial"/>
                <w:b/>
                <w:bCs/>
              </w:rPr>
              <w:t>Health and Safety</w:t>
            </w:r>
            <w:r>
              <w:rPr>
                <w:rFonts w:cs="Arial" w:ascii="Arial" w:hAnsi="Arial"/>
              </w:rPr>
              <w:t xml:space="preserve"> – The ability to identify risk to self and others when understanding work activities and appropriate actions needed to minimise risk. </w:t>
            </w:r>
          </w:p>
        </w:tc>
        <w:tc>
          <w:tcPr>
            <w:tcW w:w="3420"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4" w:type="dxa"/>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34" w:type="dxa"/>
            <w:gridSpan w:val="4"/>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0"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6"/>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34"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CQSW/DipSW/CSS/SW Degree or equivalent </w:t>
            </w:r>
          </w:p>
        </w:tc>
        <w:tc>
          <w:tcPr>
            <w:tcW w:w="342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Form/Interview </w:t>
            </w:r>
          </w:p>
        </w:tc>
      </w:tr>
      <w:tr>
        <w:trPr>
          <w:cantSplit w:val="true"/>
        </w:trPr>
        <w:tc>
          <w:tcPr>
            <w:tcW w:w="9638" w:type="dxa"/>
            <w:gridSpan w:val="6"/>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34"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2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34"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2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3. </w:t>
            </w:r>
          </w:p>
        </w:tc>
        <w:tc>
          <w:tcPr>
            <w:tcW w:w="5534"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The nature and demands of the post holder’s time are not always predictable and there will be an expectation that work will be required outside of normal hours from time to time. </w:t>
            </w:r>
          </w:p>
        </w:tc>
        <w:tc>
          <w:tcPr>
            <w:tcW w:w="342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4. </w:t>
            </w:r>
          </w:p>
        </w:tc>
        <w:tc>
          <w:tcPr>
            <w:tcW w:w="5534"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has been designated an essential car user post. Applicants must hold a full, current and valid driving licence and a vehicle with a current valid MOT certificate. There must also be adequate vehicle insurance cover to comply with the council’s requirements, in line with the Travel Costs Reimbursement Policy</w:t>
            </w:r>
          </w:p>
        </w:tc>
        <w:tc>
          <w:tcPr>
            <w:tcW w:w="342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Form/Interview </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5. </w:t>
            </w:r>
          </w:p>
        </w:tc>
        <w:tc>
          <w:tcPr>
            <w:tcW w:w="5534"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post is subject to an enhanced disclosure from the Disclosure &amp; Barring Service with check of relevant barred list (s) </w:t>
            </w:r>
          </w:p>
        </w:tc>
        <w:tc>
          <w:tcPr>
            <w:tcW w:w="342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Satisfactory Disclosure </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34"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Must be registered with Social Work England</w:t>
            </w:r>
          </w:p>
        </w:tc>
        <w:tc>
          <w:tcPr>
            <w:tcW w:w="342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Form/Interview </w:t>
            </w:r>
          </w:p>
        </w:tc>
      </w:tr>
      <w:tr>
        <w:trPr>
          <w:trHeight w:val="653" w:hRule="atLeast"/>
        </w:trPr>
        <w:tc>
          <w:tcPr>
            <w:tcW w:w="1724"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8" w:type="dxa"/>
            <w:gridSpan w:val="5"/>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0"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6"/>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34"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as a front line Duty Officer within a Children’s Services Department</w:t>
            </w:r>
          </w:p>
        </w:tc>
        <w:tc>
          <w:tcPr>
            <w:tcW w:w="3420"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34"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Experience of understanding Child Protection Enquiries </w:t>
            </w:r>
          </w:p>
        </w:tc>
        <w:tc>
          <w:tcPr>
            <w:tcW w:w="3420"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Form/Interview </w:t>
            </w:r>
          </w:p>
        </w:tc>
      </w:tr>
      <w:tr>
        <w:trPr/>
        <w:tc>
          <w:tcPr>
            <w:tcW w:w="5812" w:type="dxa"/>
            <w:gridSpan w:val="4"/>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 xml:space="preserve">Date Person Specification prepared/updated December 2023 </w:t>
            </w:r>
          </w:p>
        </w:tc>
        <w:tc>
          <w:tcPr>
            <w:tcW w:w="3816"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5812" w:type="dxa"/>
            <w:gridSpan w:val="4"/>
            <w:tcBorders/>
            <w:shd w:fill="auto" w:val="clear"/>
          </w:tcPr>
          <w:p>
            <w:pPr>
              <w:pStyle w:val="Normal"/>
              <w:spacing w:lineRule="auto" w:line="240" w:before="0" w:after="0"/>
              <w:rPr>
                <w:rFonts w:ascii="Arial" w:hAnsi="Arial" w:cs="Arial"/>
                <w:b/>
                <w:b/>
              </w:rPr>
            </w:pPr>
            <w:r>
              <w:rPr>
                <w:rFonts w:cs="Arial" w:ascii="Arial" w:hAnsi="Arial"/>
                <w:b/>
              </w:rPr>
              <w:t xml:space="preserve">Person Specification prepared by S Gatenby </w:t>
            </w:r>
          </w:p>
        </w:tc>
        <w:tc>
          <w:tcPr>
            <w:tcW w:w="3816"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2026-01-28T13:40:00Z</dcterms:created>
  <dc:creator>Johnson, Andrew</dc:creator>
  <dc:description/>
  <dc:language>en-US</dc:language>
  <cp:lastModifiedBy>Wardle, Sharon</cp:lastModifiedBy>
  <cp:lastPrinted>1995-11-21T17:41:00Z</cp:lastPrinted>
  <dcterms:modified xsi:type="dcterms:W3CDTF">2026-04-21T13:40:00Z</dcterms:modified>
  <cp:revision>10</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0x010100B8BD5F9F301C364BACAA8C02D47677C8</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