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b/>
          <w:b/>
          <w:bCs/>
          <w:sz w:val="40"/>
          <w:szCs w:val="40"/>
        </w:rPr>
      </w:pPr>
      <w:r>
        <w:rPr>
          <w:rFonts w:eastAsia="Calibri" w:cs="Calibri"/>
          <w:b/>
          <w:bCs/>
          <w:sz w:val="40"/>
          <w:szCs w:val="40"/>
        </w:rPr>
        <w:t xml:space="preserve"> </w:t>
      </w: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caps/>
              </w:rPr>
            </w:pPr>
            <w:r>
              <w:rPr>
                <w:rFonts w:cs="Arial" w:ascii="Arial" w:hAnsi="Arial"/>
                <w:b/>
                <w:caps/>
              </w:rPr>
              <w:t xml:space="preserve">Chief Executive’s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pPr>
            <w:r>
              <w:rPr>
                <w:rFonts w:cs="Arial" w:ascii="Arial" w:hAnsi="Arial"/>
                <w:b/>
                <w:bCs/>
              </w:rPr>
              <w:t>GROUP ACCOUNTANT</w:t>
            </w:r>
            <w:r>
              <w:rPr>
                <w:rFonts w:cs="Arial" w:ascii="Arial" w:hAnsi="Arial"/>
                <w:b/>
                <w:caps/>
              </w:rPr>
              <w:t xml:space="preserve"> - Place, People &amp; CORPORATE RESOURCES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J</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provide strategic financial support and manage the efficient operation of the accounting team within the joint finance unit.</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Principal Group Accountant</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Staff within the finance unit</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tabs>
                <w:tab w:val="clear" w:pos="720"/>
                <w:tab w:val="left" w:pos="504" w:leader="none"/>
              </w:tabs>
              <w:spacing w:lineRule="auto" w:line="240" w:before="0" w:after="0"/>
              <w:jc w:val="both"/>
              <w:rPr>
                <w:rFonts w:ascii="Arial" w:hAnsi="Arial" w:cs="Arial"/>
              </w:rPr>
            </w:pPr>
            <w:r>
              <w:rPr>
                <w:rFonts w:cs="Arial" w:ascii="Arial" w:hAnsi="Arial"/>
              </w:rPr>
              <w:t>Lead the team to ensure the budget monitoring, budget estimates, returns and the final accounts processes are completed accurately, in accordance with set deadlines and comply with relevant legislation, accounting standards and codes of practice.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Header"/>
              <w:tabs>
                <w:tab w:val="clear" w:pos="4513"/>
                <w:tab w:val="clear" w:pos="9026"/>
              </w:tabs>
              <w:spacing w:lineRule="auto" w:line="240" w:before="0" w:after="0"/>
              <w:rPr/>
            </w:pPr>
            <w:r>
              <w:rPr>
                <w:rFonts w:cs="Arial" w:ascii="Arial" w:hAnsi="Arial"/>
              </w:rPr>
              <w:t>Manage the liaison with internal and external auditors and resolve any financial irregularities as they arise and</w:t>
            </w:r>
            <w:r>
              <w:rPr>
                <w:rStyle w:val="HEADINGINLOWERCASE11PTBOLD"/>
                <w:rFonts w:eastAsia="Times New Roman" w:cs="Arial" w:ascii="Arial" w:hAnsi="Arial"/>
                <w:b w:val="false"/>
                <w:bCs w:val="false"/>
                <w:color w:val="C55A11"/>
              </w:rPr>
              <w:t xml:space="preserve"> </w:t>
            </w:r>
            <w:r>
              <w:rPr>
                <w:rStyle w:val="HEADINGINLOWERCASE11PTBOLD"/>
                <w:rFonts w:eastAsia="Times New Roman" w:cs="Arial" w:ascii="Arial" w:hAnsi="Arial"/>
                <w:b w:val="false"/>
                <w:bCs w:val="false"/>
                <w:color w:val="auto"/>
              </w:rPr>
              <w:t>liaise with Government Departments, other Councils, and other external bodies and agencies, as required.</w:t>
            </w:r>
            <w:r>
              <w:rPr>
                <w:rStyle w:val="HEADINGINLOWERCASE11PTBOLD"/>
                <w:rFonts w:eastAsia="Times New Roman" w:cs="Arial" w:ascii="Arial" w:hAnsi="Arial"/>
                <w:b w:val="false"/>
                <w:bCs w:val="false"/>
                <w:color w:val="C55A11"/>
              </w:rPr>
              <w:t xml:space="preserve">  </w:t>
            </w:r>
          </w:p>
          <w:p>
            <w:pPr>
              <w:pStyle w:val="Header"/>
              <w:tabs>
                <w:tab w:val="clear" w:pos="4513"/>
                <w:tab w:val="clear" w:pos="9026"/>
              </w:tabs>
              <w:spacing w:lineRule="auto" w:line="240" w:before="0" w:after="0"/>
              <w:rPr>
                <w:rFonts w:ascii="Arial" w:hAnsi="Arial" w:eastAsia="Times New Roman" w:cs="Arial"/>
                <w:b w:val="false"/>
                <w:b w:val="false"/>
                <w:bCs w:val="false"/>
                <w:color w:val="C55A11"/>
              </w:rPr>
            </w:pPr>
            <w:r>
              <w:rPr>
                <w:rFonts w:eastAsia="Times New Roman" w:cs="Arial" w:ascii="Arial" w:hAnsi="Arial"/>
                <w:b w:val="false"/>
                <w:bCs w:val="false"/>
                <w:color w:val="C55A11"/>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pPr>
            <w:r>
              <w:rPr>
                <w:rStyle w:val="HEADINGINLOWERCASE11PTBOLD"/>
                <w:rFonts w:cs="Arial" w:ascii="Arial" w:hAnsi="Arial"/>
                <w:b w:val="false"/>
                <w:bCs w:val="false"/>
                <w:color w:val="auto"/>
              </w:rPr>
              <w:t>To develop cost savings projects and reports as required and identify opportunities for improved cost control</w:t>
            </w:r>
            <w:r>
              <w:rPr>
                <w:rFonts w:cs="Arial" w:ascii="Arial" w:hAnsi="Arial"/>
              </w:rPr>
              <w:t xml:space="preserve"> and be proactive in developing financial solutions, demonstrating high levels of initiative and constructive challenge </w:t>
            </w:r>
            <w:r>
              <w:rPr>
                <w:rFonts w:cs="Arial" w:ascii="Arial" w:hAnsi="Arial"/>
                <w:strike/>
              </w:rPr>
              <w:t>in carrying out your duties</w:t>
            </w:r>
            <w:r>
              <w:rPr>
                <w:rFonts w:cs="Arial" w:ascii="Arial" w:hAnsi="Arial"/>
              </w:rPr>
              <w:t xml:space="preserve">.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Header"/>
              <w:tabs>
                <w:tab w:val="clear" w:pos="4513"/>
                <w:tab w:val="clear" w:pos="9026"/>
              </w:tabs>
              <w:spacing w:lineRule="auto" w:line="240" w:before="0" w:after="0"/>
              <w:rPr/>
            </w:pPr>
            <w:r>
              <w:rPr>
                <w:rStyle w:val="HEADINGINLOWERCASE11PTBOLD"/>
                <w:rFonts w:eastAsia="Times New Roman" w:cs="Arial" w:ascii="Arial" w:hAnsi="Arial"/>
                <w:b w:val="false"/>
                <w:bCs w:val="false"/>
                <w:color w:val="auto"/>
              </w:rPr>
              <w:t>To lead on the appraisal,</w:t>
            </w:r>
            <w:r>
              <w:rPr>
                <w:rStyle w:val="HEADINGINLOWERCASE11PTBOLD"/>
                <w:rFonts w:eastAsia="Times New Roman" w:cs="Arial" w:ascii="Arial" w:hAnsi="Arial"/>
                <w:color w:val="auto"/>
              </w:rPr>
              <w:t xml:space="preserve"> </w:t>
            </w:r>
            <w:r>
              <w:rPr>
                <w:rStyle w:val="HEADINGINLOWERCASE11PTBOLD"/>
                <w:rFonts w:eastAsia="Times New Roman" w:cs="Arial" w:ascii="Arial" w:hAnsi="Arial"/>
                <w:b w:val="false"/>
                <w:bCs w:val="false"/>
                <w:color w:val="auto"/>
              </w:rPr>
              <w:t>due diligence and accounting arrangements for new projects,</w:t>
            </w:r>
            <w:r>
              <w:rPr>
                <w:rStyle w:val="HEADINGINLOWERCASE11PTBOLD"/>
                <w:rFonts w:cs="Arial" w:ascii="Arial" w:hAnsi="Arial"/>
                <w:color w:val="auto"/>
              </w:rPr>
              <w:t xml:space="preserve"> </w:t>
            </w:r>
            <w:r>
              <w:rPr>
                <w:rStyle w:val="HEADINGINLOWERCASE11PTBOLD"/>
                <w:rFonts w:cs="Arial" w:ascii="Arial" w:hAnsi="Arial"/>
                <w:b w:val="false"/>
                <w:bCs w:val="false"/>
                <w:color w:val="auto"/>
              </w:rPr>
              <w:t>services</w:t>
            </w:r>
            <w:r>
              <w:rPr>
                <w:rStyle w:val="HEADINGINLOWERCASE11PTBOLD"/>
                <w:rFonts w:cs="Arial" w:ascii="Arial" w:hAnsi="Arial"/>
                <w:color w:val="auto"/>
              </w:rPr>
              <w:t xml:space="preserve">, </w:t>
            </w:r>
            <w:r>
              <w:rPr>
                <w:rStyle w:val="HEADINGINLOWERCASE11PTBOLD"/>
                <w:rFonts w:eastAsia="Times New Roman" w:cs="Arial" w:ascii="Arial" w:hAnsi="Arial"/>
                <w:b w:val="false"/>
                <w:bCs w:val="false"/>
                <w:color w:val="auto"/>
              </w:rPr>
              <w:t>and</w:t>
            </w:r>
            <w:r>
              <w:rPr>
                <w:rStyle w:val="HEADINGINLOWERCASE11PTBOLD"/>
                <w:rFonts w:eastAsia="Times New Roman" w:cs="Arial" w:ascii="Arial" w:hAnsi="Arial"/>
                <w:color w:val="auto"/>
              </w:rPr>
              <w:t xml:space="preserve"> </w:t>
            </w:r>
            <w:r>
              <w:rPr>
                <w:rStyle w:val="HEADINGINLOWERCASE11PTBOLD"/>
                <w:rFonts w:eastAsia="Times New Roman" w:cs="Arial" w:ascii="Arial" w:hAnsi="Arial"/>
                <w:b w:val="false"/>
                <w:bCs w:val="false"/>
                <w:color w:val="auto"/>
              </w:rPr>
              <w:t>tenders</w:t>
            </w:r>
            <w:r>
              <w:rPr>
                <w:rStyle w:val="HEADINGINLOWERCASE11PTBOLD"/>
                <w:rFonts w:eastAsia="Times New Roman" w:cs="Arial" w:ascii="Arial" w:hAnsi="Arial"/>
                <w:color w:val="auto"/>
              </w:rPr>
              <w:t xml:space="preserve"> </w:t>
            </w:r>
            <w:r>
              <w:rPr>
                <w:rStyle w:val="HEADINGINLOWERCASE11PTBOLD"/>
                <w:rFonts w:eastAsia="Times New Roman" w:cs="Arial" w:ascii="Arial" w:hAnsi="Arial"/>
                <w:b w:val="false"/>
                <w:bCs w:val="false"/>
                <w:color w:val="auto"/>
              </w:rPr>
              <w:t xml:space="preserve">to ensure proper accounting and budgeting arrangements are in place </w:t>
            </w:r>
            <w:r>
              <w:rPr>
                <w:rFonts w:cs="Arial" w:ascii="Arial" w:hAnsi="Arial"/>
              </w:rPr>
              <w:t>including leading on the development of budgets and work with services, to identify strategic options and challenge when necessary and acting as primary liaison on a number of disparate areas.</w:t>
            </w:r>
          </w:p>
          <w:p>
            <w:pPr>
              <w:pStyle w:val="Header"/>
              <w:tabs>
                <w:tab w:val="clear" w:pos="4513"/>
                <w:tab w:val="clear" w:pos="9026"/>
              </w:tabs>
              <w:spacing w:lineRule="auto" w:line="240" w:before="0" w:after="0"/>
              <w:rPr>
                <w:rFonts w:ascii="Arial" w:hAnsi="Arial" w:cs="Arial"/>
                <w:color w:val="C55A11"/>
              </w:rPr>
            </w:pPr>
            <w:r>
              <w:rPr>
                <w:rFonts w:cs="Arial" w:ascii="Arial" w:hAnsi="Arial"/>
                <w:color w:val="C55A11"/>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Header"/>
              <w:tabs>
                <w:tab w:val="clear" w:pos="4513"/>
                <w:tab w:val="clear" w:pos="9026"/>
              </w:tabs>
              <w:spacing w:lineRule="auto" w:line="240" w:before="0" w:after="0"/>
              <w:rPr/>
            </w:pPr>
            <w:r>
              <w:rPr>
                <w:rStyle w:val="HEADINGINLOWERCASE11PTBOLD"/>
                <w:rFonts w:eastAsia="Times New Roman" w:cs="Arial" w:ascii="Arial" w:hAnsi="Arial"/>
                <w:b w:val="false"/>
                <w:bCs w:val="false"/>
                <w:color w:val="auto"/>
              </w:rPr>
              <w:t>To develop,</w:t>
            </w:r>
            <w:r>
              <w:rPr>
                <w:rStyle w:val="HEADINGINLOWERCASE11PTBOLD"/>
                <w:rFonts w:eastAsia="Times New Roman" w:cs="Arial" w:ascii="Arial" w:hAnsi="Arial"/>
                <w:color w:val="auto"/>
              </w:rPr>
              <w:t xml:space="preserve"> </w:t>
            </w:r>
            <w:r>
              <w:rPr>
                <w:rStyle w:val="HEADINGINLOWERCASE11PTBOLD"/>
                <w:rFonts w:eastAsia="Times New Roman" w:cs="Arial" w:ascii="Arial" w:hAnsi="Arial"/>
                <w:b w:val="false"/>
                <w:bCs w:val="false"/>
                <w:color w:val="auto"/>
              </w:rPr>
              <w:t>implement and adapt</w:t>
            </w:r>
            <w:r>
              <w:rPr>
                <w:rStyle w:val="HEADINGINLOWERCASE11PTBOLD"/>
                <w:rFonts w:eastAsia="Times New Roman" w:cs="Arial" w:ascii="Arial" w:hAnsi="Arial"/>
                <w:color w:val="auto"/>
              </w:rPr>
              <w:t xml:space="preserve"> </w:t>
            </w:r>
            <w:r>
              <w:rPr>
                <w:rStyle w:val="HEADINGINLOWERCASE11PTBOLD"/>
                <w:rFonts w:eastAsia="Times New Roman" w:cs="Arial" w:ascii="Arial" w:hAnsi="Arial"/>
                <w:b w:val="false"/>
                <w:bCs w:val="false"/>
                <w:color w:val="auto"/>
              </w:rPr>
              <w:t>processes and procedures using IT to its best advantage</w:t>
            </w:r>
            <w:r>
              <w:rPr>
                <w:rStyle w:val="HEADINGINLOWERCASE11PTBOLD"/>
                <w:rFonts w:eastAsia="Times New Roman" w:cs="Arial" w:ascii="Arial" w:hAnsi="Arial"/>
                <w:b w:val="false"/>
                <w:bCs w:val="false"/>
                <w:color w:val="C55A11"/>
              </w:rPr>
              <w:t xml:space="preserve"> </w:t>
            </w:r>
            <w:r>
              <w:rPr>
                <w:rStyle w:val="HEADINGINLOWERCASE11PTBOLD"/>
                <w:rFonts w:eastAsia="Times New Roman" w:cs="Arial" w:ascii="Arial" w:hAnsi="Arial"/>
                <w:b w:val="false"/>
                <w:bCs w:val="false"/>
                <w:color w:val="auto"/>
              </w:rPr>
              <w:t>for the appraisal of potential projects to identify financial risks that will impact on project affordability and clearly identify ongoing financial consequences</w:t>
            </w:r>
            <w:r>
              <w:rPr>
                <w:rStyle w:val="HEADINGINLOWERCASE11PTBOLD"/>
                <w:rFonts w:eastAsia="Times New Roman" w:cs="Arial" w:ascii="Arial" w:hAnsi="Arial"/>
                <w:b w:val="false"/>
                <w:bCs w:val="false"/>
                <w:color w:val="C55A11"/>
              </w:rPr>
              <w:t>.</w:t>
            </w:r>
          </w:p>
          <w:p>
            <w:pPr>
              <w:pStyle w:val="Normal"/>
              <w:tabs>
                <w:tab w:val="clear" w:pos="720"/>
                <w:tab w:val="left" w:pos="263" w:leader="none"/>
              </w:tabs>
              <w:spacing w:lineRule="auto" w:line="240" w:before="0" w:after="0"/>
              <w:ind w:left="-64" w:right="0" w:hanging="0"/>
              <w:jc w:val="both"/>
              <w:rPr>
                <w:rFonts w:ascii="Arial" w:hAnsi="Arial" w:cs="Arial"/>
                <w:bCs/>
                <w:strike/>
              </w:rPr>
            </w:pPr>
            <w:r>
              <w:rPr>
                <w:rFonts w:cs="Arial" w:ascii="Arial" w:hAnsi="Arial"/>
                <w:bCs/>
                <w:strike/>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pPr>
            <w:r>
              <w:rPr>
                <w:rFonts w:cs="Arial" w:ascii="Arial" w:hAnsi="Arial"/>
              </w:rPr>
              <w:t xml:space="preserve">Finance lead on multi discipline strategic project groups, </w:t>
            </w:r>
            <w:r>
              <w:rPr>
                <w:rStyle w:val="HEADINGINLOWERCASE11PTBOLD"/>
                <w:rFonts w:eastAsia="Times New Roman" w:cs="Arial" w:ascii="Arial" w:hAnsi="Arial"/>
                <w:b w:val="false"/>
                <w:bCs w:val="false"/>
                <w:color w:val="auto"/>
              </w:rPr>
              <w:t>assisting the operational teams in bids and tenders, produce models and identify financial risk</w:t>
            </w:r>
            <w:r>
              <w:rPr>
                <w:rStyle w:val="HEADINGINLOWERCASE11PTBOLD"/>
                <w:rFonts w:eastAsia="Times New Roman" w:cs="Arial" w:ascii="Arial" w:hAnsi="Arial"/>
                <w:b w:val="false"/>
                <w:bCs w:val="false"/>
                <w:color w:val="C55A11"/>
              </w:rPr>
              <w: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hd w:fill="FFFFFF" w:val="clear"/>
              <w:spacing w:lineRule="auto" w:line="240" w:before="0" w:after="280"/>
              <w:ind w:left="0" w:right="240" w:hanging="0"/>
              <w:rPr/>
            </w:pPr>
            <w:r>
              <w:rPr>
                <w:rFonts w:cs="Arial" w:ascii="Arial" w:hAnsi="Arial"/>
              </w:rPr>
              <w:t xml:space="preserve">Day to day management and development of staff </w:t>
            </w:r>
            <w:r>
              <w:rPr>
                <w:rStyle w:val="HEADINGINLOWERCASE11PTBOLD"/>
                <w:rFonts w:cs="Arial" w:ascii="Arial" w:hAnsi="Arial"/>
                <w:b w:val="false"/>
                <w:bCs w:val="false"/>
                <w:color w:val="auto"/>
              </w:rPr>
              <w:t>leading and coaching the client-facing accountancy services team to ensure the customers are receiving the best experience, proactively identifying knowledge gaps and additional training needs for your team.</w:t>
            </w:r>
            <w:r>
              <w:rPr>
                <w:rStyle w:val="HEADINGINLOWERCASE11PTBOLD"/>
                <w:rFonts w:cs="Arial" w:ascii="Arial" w:hAnsi="Arial"/>
                <w:color w:val="C55A11"/>
              </w:rPr>
              <w:t xml:space="preserve">  </w:t>
            </w:r>
          </w:p>
          <w:p>
            <w:pPr>
              <w:pStyle w:val="Normal"/>
              <w:shd w:fill="FFFFFF" w:val="clear"/>
              <w:spacing w:lineRule="auto" w:line="240" w:before="280" w:after="0"/>
              <w:ind w:left="0" w:right="240" w:hanging="0"/>
              <w:rPr>
                <w:rFonts w:ascii="Arial" w:hAnsi="Arial" w:cs="Arial"/>
                <w:strike/>
              </w:rPr>
            </w:pPr>
            <w:r>
              <w:rPr>
                <w:rFonts w:cs="Arial" w:ascii="Arial" w:hAnsi="Arial"/>
                <w:strike/>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Header"/>
              <w:tabs>
                <w:tab w:val="clear" w:pos="4513"/>
                <w:tab w:val="clear" w:pos="9026"/>
              </w:tabs>
              <w:spacing w:lineRule="auto" w:line="240" w:before="0" w:after="0"/>
              <w:rPr/>
            </w:pPr>
            <w:r>
              <w:rPr>
                <w:rFonts w:cs="Arial" w:ascii="Arial" w:hAnsi="Arial"/>
              </w:rPr>
              <w:t>Provide financial advice, guidance, support and training to the team and wider organisation and t</w:t>
            </w:r>
            <w:r>
              <w:rPr>
                <w:rFonts w:eastAsia="Times New Roman" w:cs="Arial" w:ascii="Arial" w:hAnsi="Arial"/>
              </w:rPr>
              <w:t xml:space="preserve">o provide financial representation for the Authority in meetings with suppliers, customers and external agencies as appropriate.  To also provide financial advice and support as appropriate to organisations connected to the Council. </w:t>
            </w:r>
          </w:p>
          <w:p>
            <w:pPr>
              <w:pStyle w:val="Normal"/>
              <w:spacing w:lineRule="auto" w:line="240" w:before="0" w:after="0"/>
              <w:ind w:left="-64" w:right="0" w:hanging="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ind w:left="-64" w:right="0" w:hanging="0"/>
              <w:jc w:val="both"/>
              <w:rPr>
                <w:rFonts w:ascii="Arial" w:hAnsi="Arial" w:cs="Arial"/>
              </w:rPr>
            </w:pPr>
            <w:r>
              <w:rPr>
                <w:rFonts w:cs="Arial" w:ascii="Arial" w:hAnsi="Arial"/>
              </w:rPr>
              <w:t>Ensure the Local Authority’s Section 151 responsibilities are adhered to and deputise for the Principal Group Accountant or Head of Strategic Finance and Accountancy, as required.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ind w:left="-64" w:right="0" w:hanging="0"/>
              <w:rPr>
                <w:rFonts w:ascii="Arial" w:hAnsi="Arial" w:cs="Arial"/>
              </w:rPr>
            </w:pPr>
            <w:r>
              <w:rPr>
                <w:rFonts w:cs="Arial" w:ascii="Arial" w:hAnsi="Arial"/>
              </w:rPr>
              <w:t>To lead in the financial development and delivery of service business and action plans and other areas of work, as requested by the finance management team.</w:t>
            </w:r>
          </w:p>
        </w:tc>
      </w:tr>
      <w:tr>
        <w:trPr>
          <w:trHeight w:val="506" w:hRule="atLeast"/>
        </w:trPr>
        <w:tc>
          <w:tcPr>
            <w:tcW w:w="808" w:type="dxa"/>
            <w:tcBorders/>
            <w:shd w:fill="auto" w:val="clear"/>
          </w:tcPr>
          <w:p>
            <w:pPr>
              <w:pStyle w:val="Normal"/>
              <w:spacing w:lineRule="auto" w:line="240" w:before="0" w:after="0"/>
              <w:rPr>
                <w:rFonts w:ascii="Arial" w:hAnsi="Arial" w:cs="Arial"/>
                <w:b/>
                <w:b/>
                <w:bCs/>
              </w:rPr>
            </w:pPr>
            <w:r>
              <w:rPr>
                <w:rFonts w:cs="Arial" w:ascii="Arial" w:hAnsi="Arial"/>
                <w:b/>
                <w:bCs/>
              </w:rPr>
              <w:t>11</w:t>
            </w:r>
          </w:p>
          <w:p>
            <w:pPr>
              <w:pStyle w:val="Normal"/>
              <w:spacing w:lineRule="auto" w:line="240" w:before="0" w:after="0"/>
              <w:rPr>
                <w:rFonts w:ascii="Arial" w:hAnsi="Arial" w:cs="Arial"/>
                <w:b/>
                <w:b/>
                <w:bCs/>
              </w:rPr>
            </w:pPr>
            <w:r>
              <w:rPr>
                <w:rFonts w:cs="Arial" w:ascii="Arial" w:hAnsi="Arial"/>
                <w:b/>
                <w:bCs/>
              </w:rPr>
            </w:r>
          </w:p>
          <w:p>
            <w:pPr>
              <w:pStyle w:val="Normal"/>
              <w:spacing w:lineRule="auto" w:line="240" w:before="0" w:after="0"/>
              <w:rPr>
                <w:rFonts w:ascii="Arial" w:hAnsi="Arial" w:cs="Arial"/>
                <w:b/>
                <w:b/>
                <w:bCs/>
              </w:rPr>
            </w:pPr>
            <w:r>
              <w:rPr>
                <w:rFonts w:cs="Arial" w:ascii="Arial" w:hAnsi="Arial"/>
                <w:b/>
                <w:bCs/>
              </w:rPr>
              <w:t>12</w:t>
            </w:r>
          </w:p>
        </w:tc>
        <w:tc>
          <w:tcPr>
            <w:tcW w:w="8829" w:type="dxa"/>
            <w:gridSpan w:val="2"/>
            <w:tcBorders/>
            <w:shd w:fill="auto" w:val="clear"/>
          </w:tcPr>
          <w:p>
            <w:pPr>
              <w:pStyle w:val="Header"/>
              <w:tabs>
                <w:tab w:val="clear" w:pos="4513"/>
                <w:tab w:val="clear" w:pos="9026"/>
              </w:tabs>
              <w:spacing w:lineRule="auto" w:line="240" w:before="0" w:after="0"/>
              <w:rPr/>
            </w:pPr>
            <w:r>
              <w:rPr>
                <w:rStyle w:val="HEADINGINLOWERCASE11PTBOLD"/>
                <w:rFonts w:eastAsia="Times New Roman" w:cs="Arial" w:ascii="Arial" w:hAnsi="Arial"/>
                <w:b w:val="false"/>
                <w:bCs w:val="false"/>
                <w:color w:val="auto"/>
              </w:rPr>
              <w:t>Produce quarterly financial reports and other adhoc financial reports to DLT and ECM as and when required to report on financial position</w:t>
            </w:r>
            <w:r>
              <w:rPr>
                <w:rStyle w:val="HEADINGINLOWERCASE11PTBOLD"/>
                <w:rFonts w:eastAsia="Times New Roman" w:cs="Arial" w:ascii="Arial" w:hAnsi="Arial"/>
                <w:b w:val="false"/>
                <w:bCs w:val="false"/>
                <w:color w:val="C55A11"/>
              </w:rPr>
              <w:t xml:space="preserve">, </w:t>
            </w:r>
            <w:r>
              <w:rPr>
                <w:rStyle w:val="HEADINGINLOWERCASE11PTBOLD"/>
                <w:rFonts w:eastAsia="Times New Roman" w:cs="Arial" w:ascii="Arial" w:hAnsi="Arial"/>
                <w:b w:val="false"/>
                <w:bCs w:val="false"/>
                <w:color w:val="auto"/>
              </w:rPr>
              <w:t xml:space="preserve">key financial data and risks. </w:t>
            </w:r>
          </w:p>
          <w:p>
            <w:pPr>
              <w:pStyle w:val="Header"/>
              <w:tabs>
                <w:tab w:val="clear" w:pos="4513"/>
                <w:tab w:val="clear" w:pos="9026"/>
              </w:tabs>
              <w:spacing w:lineRule="auto" w:line="240" w:before="0" w:after="0"/>
              <w:rPr>
                <w:rFonts w:ascii="Arial" w:hAnsi="Arial" w:eastAsia="Times New Roman" w:cs="Arial"/>
                <w:b w:val="false"/>
                <w:b w:val="false"/>
                <w:bCs w:val="false"/>
                <w:color w:val="auto"/>
              </w:rPr>
            </w:pPr>
            <w:r>
              <w:rPr>
                <w:rFonts w:eastAsia="Times New Roman" w:cs="Arial" w:ascii="Arial" w:hAnsi="Arial"/>
                <w:b w:val="false"/>
                <w:bCs w:val="false"/>
                <w:color w:val="auto"/>
              </w:rPr>
            </w:r>
          </w:p>
          <w:p>
            <w:pPr>
              <w:pStyle w:val="Header"/>
              <w:tabs>
                <w:tab w:val="clear" w:pos="4513"/>
                <w:tab w:val="clear" w:pos="9026"/>
              </w:tabs>
              <w:spacing w:lineRule="auto" w:line="240" w:before="0" w:after="0"/>
              <w:rPr>
                <w:rFonts w:ascii="Arial" w:hAnsi="Arial" w:cs="Arial"/>
              </w:rPr>
            </w:pPr>
            <w:r>
              <w:rPr>
                <w:rFonts w:cs="Arial" w:ascii="Arial" w:hAnsi="Arial"/>
              </w:rPr>
              <w:t>Provide financial advice and planning in relation to grant funding for specific projects and timeframes, giving a clear overview of the grant purpose and ensuring adherence to grant conditions when implementing and monitoring the funding.</w:t>
            </w:r>
          </w:p>
          <w:p>
            <w:pPr>
              <w:pStyle w:val="Header"/>
              <w:tabs>
                <w:tab w:val="clear" w:pos="4513"/>
                <w:tab w:val="clear" w:pos="9026"/>
              </w:tabs>
              <w:spacing w:lineRule="auto" w:line="240" w:before="0" w:after="0"/>
              <w:rPr>
                <w:rFonts w:ascii="Arial" w:hAnsi="Arial" w:cs="Arial"/>
              </w:rPr>
            </w:pPr>
            <w:r>
              <w:rPr>
                <w:rFonts w:cs="Arial" w:ascii="Arial" w:hAnsi="Arial"/>
              </w:rPr>
            </w:r>
          </w:p>
          <w:p>
            <w:pPr>
              <w:pStyle w:val="Header"/>
              <w:tabs>
                <w:tab w:val="clear" w:pos="4513"/>
                <w:tab w:val="clear" w:pos="9026"/>
              </w:tabs>
              <w:spacing w:lineRule="auto" w:line="240" w:before="0" w:after="0"/>
              <w:rPr>
                <w:rFonts w:ascii="Arial" w:hAnsi="Arial" w:cs="Arial"/>
              </w:rPr>
            </w:pPr>
            <w:r>
              <w:rPr>
                <w:rFonts w:cs="Arial" w:ascii="Arial" w:hAnsi="Arial"/>
              </w:rPr>
            </w:r>
          </w:p>
          <w:p>
            <w:pPr>
              <w:pStyle w:val="Header"/>
              <w:tabs>
                <w:tab w:val="clear" w:pos="4513"/>
                <w:tab w:val="clear" w:pos="9026"/>
              </w:tabs>
              <w:spacing w:lineRule="auto" w:line="240" w:before="0" w:after="0"/>
              <w:rPr>
                <w:rFonts w:ascii="Arial" w:hAnsi="Arial" w:cs="Arial"/>
              </w:rPr>
            </w:pPr>
            <w:r>
              <w:rPr>
                <w:rFonts w:cs="Arial" w:ascii="Arial" w:hAnsi="Arial"/>
              </w:rPr>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Cs/>
              </w:rPr>
            </w:pPr>
            <w:r>
              <w:rPr>
                <w:rFonts w:cs="Arial" w:ascii="Arial" w:hAnsi="Arial"/>
                <w:bCs/>
              </w:rPr>
              <w:t>April 2022</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rPr>
            </w:pPr>
            <w:r>
              <w:rPr>
                <w:rFonts w:cs="Arial" w:ascii="Arial" w:hAnsi="Arial"/>
              </w:rPr>
              <w:t xml:space="preserve">Head of Finance – Chief Executive’s and Place Departments </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 xml:space="preserve">Chief executive’s </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pPr>
            <w:r>
              <w:rPr>
                <w:rFonts w:cs="Arial" w:ascii="Arial" w:hAnsi="Arial"/>
                <w:b/>
                <w:bCs/>
              </w:rPr>
              <w:t>GROUP ACCOUNTANT</w:t>
            </w:r>
            <w:r>
              <w:rPr>
                <w:rFonts w:cs="Arial" w:ascii="Arial" w:hAnsi="Arial"/>
                <w:b/>
                <w:caps/>
              </w:rPr>
              <w:t xml:space="preserve"> - Place, People &amp; CORPORATE RESOURCES</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7"/>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High level of financial management and accountancy skills.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Written Exercise / Oral Exercise / 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Good communication skills both orally and in writing with the ability to influence and persuade senior officers.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Written Exercise / Oral Exercise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High level of technical ability to ensure that accounting standards and codes of practice are fully understood and adhered to.</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Have an excellent understanding and practical experience of using information technology to best advantage.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 / Written Exercise</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An ability to plan and to meet agreed targets and deadlines set.</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Have a high level of ability to work with and co-ordinate the team, to ensure that the potential of the team is maximised and high quality services are provided.</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 / Role Play</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provide advice and guidance to senior officers and budget managers within the Department and external partners, agencies and customers.</w:t>
            </w:r>
          </w:p>
        </w:tc>
        <w:tc>
          <w:tcPr>
            <w:tcW w:w="3423" w:type="dxa"/>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Oral Exercise</w:t>
            </w:r>
          </w:p>
          <w:p>
            <w:pPr>
              <w:pStyle w:val="Normal"/>
              <w:spacing w:lineRule="auto" w:line="240" w:before="120" w:after="120"/>
              <w:rPr>
                <w:rFonts w:ascii="Arial" w:hAnsi="Arial" w:cs="Arial"/>
              </w:rPr>
            </w:pPr>
            <w:r>
              <w:rPr>
                <w:rFonts w:cs="Arial" w:ascii="Arial" w:hAnsi="Arial"/>
              </w:rPr>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work as a strong team player and on your own initiative.  To be able to demonstrate a proven track record of problem-solving skills which are used to seek out and deliver continuous improvements to services.</w:t>
            </w:r>
          </w:p>
        </w:tc>
        <w:tc>
          <w:tcPr>
            <w:tcW w:w="3423" w:type="dxa"/>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Application Form / Interview</w:t>
            </w:r>
          </w:p>
        </w:tc>
      </w:tr>
      <w:tr>
        <w:trPr>
          <w:cantSplit w:val="true"/>
        </w:trPr>
        <w:tc>
          <w:tcPr>
            <w:tcW w:w="646" w:type="dxa"/>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23"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Qualified Accountant (CCAB Body by Examination) with two years post qualification experience.</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Must be willing to undertake any additional training and development identified in order to meet the needs of the service.</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occasionally work outside of normal office hours, for example at evenings and weekends, to meet the needs of the service.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sz w:val="20"/>
                <w:szCs w:val="20"/>
              </w:rPr>
            </w:pPr>
            <w:r>
              <w:rPr>
                <w:rFonts w:cs="Arial" w:ascii="Arial" w:hAnsi="Arial"/>
                <w:sz w:val="20"/>
                <w:szCs w:val="20"/>
              </w:rPr>
              <w:t>Posts that are designated as Information Asset Owners will be expected to lead and foster a culture that values, protects and uses information for the public good.  They must know what information the asset holds, what enters and leaves it and why, being responsible for maintaining this overview within the Councils Information Asset Register. The IAO will also need to know who has access and why and ensure their use of the asset is monitored and used for service delivery and performance management, understand and address risks to the asset and provide assurance to the SIRO/ DSIRO. Ultimately, the IAO must ensure the asset is fully used for the public good, including responding to access requests, audits and transparency /open data requests.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Three years post qualification experience.</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Certificate</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 xml:space="preserve">Date Person Specification prepared/updated: </w:t>
            </w:r>
          </w:p>
        </w:tc>
        <w:tc>
          <w:tcPr>
            <w:tcW w:w="3816" w:type="dxa"/>
            <w:gridSpan w:val="3"/>
            <w:tcBorders/>
            <w:shd w:fill="auto" w:val="clear"/>
          </w:tcPr>
          <w:p>
            <w:pPr>
              <w:pStyle w:val="Normal"/>
              <w:spacing w:lineRule="auto" w:line="240" w:before="0" w:after="0"/>
              <w:rPr>
                <w:rFonts w:ascii="Arial" w:hAnsi="Arial" w:cs="Arial"/>
                <w:bCs/>
              </w:rPr>
            </w:pPr>
            <w:r>
              <w:rPr>
                <w:rFonts w:cs="Arial" w:ascii="Arial" w:hAnsi="Arial"/>
                <w:bCs/>
              </w:rPr>
              <w:t>April 2022</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pacing w:lineRule="auto" w:line="240" w:before="0" w:after="0"/>
              <w:rPr>
                <w:rFonts w:ascii="Arial" w:hAnsi="Arial" w:cs="Arial"/>
              </w:rPr>
            </w:pPr>
            <w:r>
              <w:rPr>
                <w:rFonts w:cs="Arial" w:ascii="Arial" w:hAnsi="Arial"/>
              </w:rPr>
              <w:t>Head of Finance – Chief Executive’s and Place Departments</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Arial"/>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HEADINGINLOWERCASE11PTBOLD">
    <w:name w:val="HEADING IN LOWER CASE - 11PT BOLD"/>
    <w:basedOn w:val="DefaultParagraphFont"/>
    <w:qFormat/>
    <w:rPr>
      <w:rFonts w:ascii="Calibri" w:hAnsi="Calibri" w:cs="Calibri"/>
      <w:b/>
      <w:bCs/>
      <w:color w:val="8A006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Arial"/>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2026-02-12T16:09:00Z</dcterms:created>
  <dc:creator>Johnson, Andrew</dc:creator>
  <dc:description/>
  <dc:language>en-US</dc:language>
  <cp:lastModifiedBy>McMullen, Connie</cp:lastModifiedBy>
  <cp:lastPrinted>1995-11-21T17:41:00Z</cp:lastPrinted>
  <dcterms:modified xsi:type="dcterms:W3CDTF">2026-05-14T08:30:00Z</dcterms:modified>
  <cp:revision>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0x0101000546D9254E1FD443A6C398E2C0B5643E</vt:lpwstr>
  </property>
  <property fmtid="{D5CDD505-2E9C-101B-9397-08002B2CF9AE}" pid="5" name="DocSecurity">
    <vt:i4>4</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