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footer4.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bCs/>
          <w:sz w:val="40"/>
          <w:szCs w:val="40"/>
        </w:rPr>
      </w:pPr>
      <w:r>
        <w:rPr>
          <w:rFonts w:eastAsia="Arial" w:cs="Arial" w:ascii="Arial" w:hAnsi="Arial"/>
          <w:b/>
          <w:bCs/>
          <w:sz w:val="40"/>
          <w:szCs w:val="40"/>
        </w:rPr>
        <w:t xml:space="preserve"> </w:t>
      </w:r>
      <w:r>
        <w:rPr>
          <w:rFonts w:cs="Arial" w:ascii="Arial" w:hAnsi="Arial"/>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CORPORATE RESOURCES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bCs/>
              </w:rPr>
            </w:pPr>
            <w:r>
              <w:rPr>
                <w:rFonts w:cs="Arial" w:ascii="Arial" w:hAnsi="Arial"/>
                <w:b/>
                <w:bCs/>
              </w:rPr>
              <w:t>PRINCIPAL SOCIAL VALUE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I</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 xml:space="preserve">To lead the development, management, impact reporting and celebration of Bolton Council’s Corporate Social Value Programme. </w:t>
            </w:r>
          </w:p>
          <w:p>
            <w:pPr>
              <w:pStyle w:val="Normal"/>
              <w:spacing w:lineRule="auto" w:line="240" w:before="0" w:after="0"/>
              <w:rPr>
                <w:rFonts w:ascii="Arial" w:hAnsi="Arial" w:cs="Arial"/>
              </w:rPr>
            </w:pPr>
            <w:r>
              <w:rPr>
                <w:rFonts w:cs="Arial" w:ascii="Arial" w:hAnsi="Arial"/>
              </w:rPr>
              <w:t xml:space="preserve">To ensure procurement, commissioning and grant making activities align to the Council’s social value objectives and wider procurement legislation.  </w:t>
            </w:r>
          </w:p>
          <w:p>
            <w:pPr>
              <w:pStyle w:val="Normal"/>
              <w:spacing w:lineRule="auto" w:line="240" w:before="0" w:after="0"/>
              <w:rPr>
                <w:rFonts w:ascii="Arial" w:hAnsi="Arial" w:cs="Arial"/>
              </w:rPr>
            </w:pPr>
            <w:r>
              <w:rPr>
                <w:rFonts w:cs="Arial" w:ascii="Arial" w:hAnsi="Arial"/>
              </w:rPr>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Strategy and Policy Manager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N/A</w:t>
            </w:r>
          </w:p>
        </w:tc>
      </w:tr>
    </w:tbl>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0"/>
        <w:gridCol w:w="5069"/>
      </w:tblGrid>
      <w:tr>
        <w:trPr>
          <w:trHeight w:val="4527"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ListParagraph"/>
              <w:spacing w:lineRule="auto" w:line="240" w:before="0" w:after="0"/>
              <w:ind w:left="0" w:right="0" w:hanging="0"/>
              <w:contextualSpacing/>
              <w:jc w:val="both"/>
              <w:rPr>
                <w:rFonts w:eastAsia="Calibri" w:cs="Arial"/>
              </w:rPr>
            </w:pPr>
            <w:r>
              <w:rPr>
                <w:rFonts w:eastAsia="Calibri" w:cs="Arial"/>
              </w:rPr>
              <w:t>Lead the development, delivery, performance management, impact reporting and celebration of Bolton Council’s Corporate Social Value Programme. This includes:</w:t>
            </w:r>
          </w:p>
          <w:p>
            <w:pPr>
              <w:pStyle w:val="ListParagraph"/>
              <w:spacing w:lineRule="auto" w:line="240" w:before="0" w:after="0"/>
              <w:ind w:left="0" w:right="0" w:hanging="0"/>
              <w:contextualSpacing/>
              <w:jc w:val="both"/>
              <w:rPr>
                <w:rFonts w:cs="Arial"/>
              </w:rPr>
            </w:pPr>
            <w:r>
              <w:rPr>
                <w:rFonts w:cs="Arial"/>
              </w:rPr>
            </w:r>
          </w:p>
          <w:p>
            <w:pPr>
              <w:pStyle w:val="ListParagraph"/>
              <w:numPr>
                <w:ilvl w:val="0"/>
                <w:numId w:val="4"/>
              </w:numPr>
              <w:spacing w:lineRule="auto" w:line="240" w:before="0" w:after="0"/>
              <w:contextualSpacing/>
              <w:rPr/>
            </w:pPr>
            <w:r>
              <w:rPr/>
              <w:t>Leading the programme strategic direction, priorities, performance management and impact performance framework in line with Bolton Council, Borough Plans, and wider social value and procurement legislation.</w:t>
            </w:r>
          </w:p>
          <w:p>
            <w:pPr>
              <w:pStyle w:val="ListParagraph"/>
              <w:numPr>
                <w:ilvl w:val="0"/>
                <w:numId w:val="4"/>
              </w:numPr>
              <w:spacing w:lineRule="auto" w:line="240" w:before="0" w:after="0"/>
              <w:contextualSpacing/>
              <w:rPr/>
            </w:pPr>
            <w:r>
              <w:rPr/>
              <w:t>Co-ordinate Bolton Council social value workstreams, ensuring they collectively drive improvements in how social value is generated and delivered so that economic and social impact can be acknowledged and communicated to stakeholders and partners.</w:t>
            </w:r>
          </w:p>
          <w:p>
            <w:pPr>
              <w:pStyle w:val="ListParagraph"/>
              <w:numPr>
                <w:ilvl w:val="0"/>
                <w:numId w:val="4"/>
              </w:numPr>
              <w:spacing w:lineRule="auto" w:line="240" w:before="0" w:after="0"/>
              <w:contextualSpacing/>
              <w:rPr/>
            </w:pPr>
            <w:r>
              <w:rPr/>
              <w:t xml:space="preserve">Develop a cross-council social value delivery group to support the consistent delivery of social value, alignment with policies and priorities and celebration of social value impact.  </w:t>
            </w:r>
          </w:p>
          <w:p>
            <w:pPr>
              <w:pStyle w:val="ListParagraph"/>
              <w:numPr>
                <w:ilvl w:val="0"/>
                <w:numId w:val="4"/>
              </w:numPr>
              <w:spacing w:lineRule="auto" w:line="240" w:before="0" w:after="0"/>
              <w:contextualSpacing/>
              <w:rPr/>
            </w:pPr>
            <w:r>
              <w:rPr/>
              <w:t>Ensuring social value policy changes are implemented and communicated effectively across all departments, suppliers, stakeholders and partners.</w:t>
            </w:r>
          </w:p>
          <w:p>
            <w:pPr>
              <w:pStyle w:val="ListParagraph"/>
              <w:numPr>
                <w:ilvl w:val="0"/>
                <w:numId w:val="4"/>
              </w:numPr>
              <w:spacing w:lineRule="auto" w:line="240" w:before="0" w:after="0"/>
              <w:contextualSpacing/>
              <w:rPr/>
            </w:pPr>
            <w:r>
              <w:rPr/>
              <w:t>Develop organisational capability to deliver and communicate high-quality social value, including training to staff, suppliers, stakeholders and partners.</w:t>
            </w:r>
          </w:p>
          <w:p>
            <w:pPr>
              <w:pStyle w:val="ListParagraph"/>
              <w:numPr>
                <w:ilvl w:val="0"/>
                <w:numId w:val="4"/>
              </w:numPr>
              <w:spacing w:lineRule="auto" w:line="240" w:before="0" w:after="0"/>
              <w:contextualSpacing/>
              <w:rPr/>
            </w:pPr>
            <w:r>
              <w:rPr/>
              <w:t>Support managers in the securing of social value financial contributions and payments to social value beneficiaries.</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Strengthen the contribution and delivery of social value within procurement, commissioning and grant making. This includes:</w:t>
            </w:r>
          </w:p>
          <w:p>
            <w:pPr>
              <w:pStyle w:val="ListParagraph"/>
              <w:numPr>
                <w:ilvl w:val="0"/>
                <w:numId w:val="1"/>
              </w:numPr>
              <w:spacing w:lineRule="auto" w:line="240" w:before="0" w:after="0"/>
              <w:contextualSpacing/>
              <w:jc w:val="both"/>
              <w:rPr>
                <w:rFonts w:cs="Arial"/>
              </w:rPr>
            </w:pPr>
            <w:r>
              <w:rPr>
                <w:rFonts w:cs="Arial"/>
              </w:rPr>
              <w:t>Advising and supporting colleagues with responsibility for procurement, commissioning and grant making to design and embed Bolton’s Social Value into tender design, contract management, evaluation and impact reporting.</w:t>
            </w:r>
          </w:p>
          <w:p>
            <w:pPr>
              <w:pStyle w:val="ListParagraph"/>
              <w:numPr>
                <w:ilvl w:val="0"/>
                <w:numId w:val="1"/>
              </w:numPr>
              <w:spacing w:lineRule="auto" w:line="240" w:before="0" w:after="0"/>
              <w:contextualSpacing/>
              <w:jc w:val="both"/>
              <w:rPr>
                <w:rFonts w:cs="Arial"/>
              </w:rPr>
            </w:pPr>
            <w:r>
              <w:rPr>
                <w:rFonts w:cs="Arial"/>
              </w:rPr>
              <w:t>Engaging developers, contractors, suppliers, partners and stakeholders to design shared approaches and joint commitments and reporting on the social and economic impact.</w:t>
            </w:r>
          </w:p>
          <w:p>
            <w:pPr>
              <w:pStyle w:val="ListParagraph"/>
              <w:numPr>
                <w:ilvl w:val="0"/>
                <w:numId w:val="1"/>
              </w:numPr>
              <w:spacing w:lineRule="auto" w:line="240" w:before="0" w:after="0"/>
              <w:contextualSpacing/>
              <w:jc w:val="both"/>
              <w:rPr>
                <w:rFonts w:cs="Arial"/>
              </w:rPr>
            </w:pPr>
            <w:r>
              <w:rPr>
                <w:rFonts w:cs="Arial"/>
              </w:rPr>
              <w:t>Supporting the development of social value requirements for major procurements, ensuring they reflect local needs, priorities and market conditions.</w:t>
            </w:r>
          </w:p>
          <w:p>
            <w:pPr>
              <w:pStyle w:val="ListParagraph"/>
              <w:numPr>
                <w:ilvl w:val="0"/>
                <w:numId w:val="1"/>
              </w:numPr>
              <w:spacing w:lineRule="auto" w:line="240" w:before="0" w:after="0"/>
              <w:contextualSpacing/>
              <w:jc w:val="both"/>
              <w:rPr>
                <w:rFonts w:cs="Arial"/>
              </w:rPr>
            </w:pPr>
            <w:r>
              <w:rPr>
                <w:rFonts w:cs="Arial"/>
              </w:rPr>
              <w:t>Supporting the development of monitoring and impact reporting mechanisms.</w:t>
            </w:r>
          </w:p>
          <w:p>
            <w:pPr>
              <w:pStyle w:val="ListParagraph"/>
              <w:numPr>
                <w:ilvl w:val="0"/>
                <w:numId w:val="1"/>
              </w:numPr>
              <w:spacing w:lineRule="auto" w:line="240" w:before="0" w:after="0"/>
              <w:contextualSpacing/>
              <w:jc w:val="both"/>
              <w:rPr>
                <w:rFonts w:cs="Arial"/>
              </w:rPr>
            </w:pPr>
            <w:r>
              <w:rPr>
                <w:rFonts w:cs="Arial"/>
              </w:rPr>
              <w:t>Supporting commissioners to negotiate and secure high-quality social value commitments, delivery monitoring and social and economic impact reporting.</w:t>
            </w:r>
          </w:p>
        </w:tc>
      </w:tr>
      <w:tr>
        <w:trPr>
          <w:trHeight w:val="699"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Oversee the development of systems and approaches to capture, measure, report and celebrate social and economic impact of social value contributions to Bolton. This includes:</w:t>
            </w:r>
          </w:p>
          <w:p>
            <w:pPr>
              <w:pStyle w:val="ListParagraph"/>
              <w:numPr>
                <w:ilvl w:val="0"/>
                <w:numId w:val="2"/>
              </w:numPr>
              <w:spacing w:lineRule="auto" w:line="240" w:before="0" w:after="0"/>
              <w:contextualSpacing/>
              <w:rPr/>
            </w:pPr>
            <w:r>
              <w:rPr/>
              <w:t>Designing and implementing a single, council-wide approach for recording, tracking and evidencing social and economic impact.</w:t>
            </w:r>
          </w:p>
          <w:p>
            <w:pPr>
              <w:pStyle w:val="ListParagraph"/>
              <w:numPr>
                <w:ilvl w:val="0"/>
                <w:numId w:val="2"/>
              </w:numPr>
              <w:spacing w:lineRule="auto" w:line="240" w:before="0" w:after="0"/>
              <w:contextualSpacing/>
              <w:rPr/>
            </w:pPr>
            <w:r>
              <w:rPr/>
              <w:t>Creating clear corporate reporting mechanisms that translate supplier commitments into meaningful impact.</w:t>
            </w:r>
          </w:p>
          <w:p>
            <w:pPr>
              <w:pStyle w:val="ListParagraph"/>
              <w:numPr>
                <w:ilvl w:val="0"/>
                <w:numId w:val="2"/>
              </w:numPr>
              <w:spacing w:lineRule="auto" w:line="240" w:before="0" w:after="0"/>
              <w:contextualSpacing/>
              <w:rPr/>
            </w:pPr>
            <w:r>
              <w:rPr/>
              <w:t>Identifying data gaps and recommending improvements to strengthen consistency, accuracy and accountability.</w:t>
            </w:r>
          </w:p>
          <w:p>
            <w:pPr>
              <w:pStyle w:val="ListParagraph"/>
              <w:numPr>
                <w:ilvl w:val="0"/>
                <w:numId w:val="2"/>
              </w:numPr>
              <w:spacing w:lineRule="auto" w:line="240" w:before="0" w:after="0"/>
              <w:contextualSpacing/>
              <w:rPr/>
            </w:pPr>
            <w:r>
              <w:rPr/>
              <w:t>Ensuring that social value impact is celebrated.</w:t>
            </w:r>
          </w:p>
          <w:p>
            <w:pPr>
              <w:pStyle w:val="ListParagraph"/>
              <w:spacing w:lineRule="auto" w:line="240" w:before="0" w:after="0"/>
              <w:contextualSpacing/>
              <w:rPr>
                <w:rFonts w:cs="Arial"/>
              </w:rPr>
            </w:pPr>
            <w:r>
              <w:rPr>
                <w:rFonts w:cs="Arial"/>
              </w:rPr>
            </w:r>
          </w:p>
        </w:tc>
      </w:tr>
      <w:tr>
        <w:trPr>
          <w:trHeight w:val="2967"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Maximise social and economic impact for Bolton through social value activity. This includes:</w:t>
            </w:r>
          </w:p>
          <w:p>
            <w:pPr>
              <w:pStyle w:val="ListParagraph"/>
              <w:numPr>
                <w:ilvl w:val="0"/>
                <w:numId w:val="3"/>
              </w:numPr>
              <w:spacing w:lineRule="auto" w:line="240" w:before="0" w:after="0"/>
              <w:contextualSpacing/>
              <w:rPr>
                <w:rFonts w:cs="Arial"/>
              </w:rPr>
            </w:pPr>
            <w:r>
              <w:rPr>
                <w:rFonts w:cs="Arial"/>
              </w:rPr>
              <w:t>Social and economic impact planning, recording and reporting.</w:t>
            </w:r>
          </w:p>
          <w:p>
            <w:pPr>
              <w:pStyle w:val="ListParagraph"/>
              <w:numPr>
                <w:ilvl w:val="0"/>
                <w:numId w:val="3"/>
              </w:numPr>
              <w:spacing w:lineRule="auto" w:line="240" w:before="0" w:after="0"/>
              <w:contextualSpacing/>
              <w:rPr>
                <w:rFonts w:cs="Arial"/>
              </w:rPr>
            </w:pPr>
            <w:r>
              <w:rPr>
                <w:rFonts w:cs="Arial"/>
              </w:rPr>
              <w:t>Leading the development and management of brokerage mechanisms that connect supplier offers to community need, working with partners and stakeholders as appropriate.</w:t>
            </w:r>
          </w:p>
          <w:p>
            <w:pPr>
              <w:pStyle w:val="ListParagraph"/>
              <w:numPr>
                <w:ilvl w:val="0"/>
                <w:numId w:val="3"/>
              </w:numPr>
              <w:spacing w:lineRule="auto" w:line="240" w:before="0" w:after="0"/>
              <w:contextualSpacing/>
              <w:rPr>
                <w:rFonts w:cs="Arial"/>
              </w:rPr>
            </w:pPr>
            <w:r>
              <w:rPr>
                <w:rFonts w:cs="Arial"/>
              </w:rPr>
              <w:t>Developing approaches to ensure major capital projects impact long-term social and economic benefits beyond contractual minimums.</w:t>
            </w:r>
          </w:p>
          <w:p>
            <w:pPr>
              <w:pStyle w:val="ListParagraph"/>
              <w:numPr>
                <w:ilvl w:val="0"/>
                <w:numId w:val="3"/>
              </w:numPr>
              <w:spacing w:lineRule="auto" w:line="240" w:before="0" w:after="0"/>
              <w:contextualSpacing/>
              <w:rPr>
                <w:rFonts w:cs="Arial"/>
              </w:rPr>
            </w:pPr>
            <w:r>
              <w:rPr>
                <w:rFonts w:cs="Arial"/>
              </w:rPr>
              <w:t>Identifying opportunities for partners and stakeholders, including Bolton residents to collaborate on shared social value ambitions and investment.</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cs="Arial" w:ascii="Arial" w:hAnsi="Arial"/>
              </w:rPr>
              <w:t>Delivering social value projects that support strategic priorities. This includes</w:t>
            </w:r>
            <w:r>
              <w:rPr>
                <w:rFonts w:cs="Arial" w:ascii="Arial" w:hAnsi="Arial"/>
                <w:b/>
                <w:bCs/>
              </w:rPr>
              <w:t>:</w:t>
            </w:r>
          </w:p>
          <w:p>
            <w:pPr>
              <w:pStyle w:val="ListParagraph"/>
              <w:numPr>
                <w:ilvl w:val="0"/>
                <w:numId w:val="5"/>
              </w:numPr>
              <w:spacing w:lineRule="auto" w:line="240" w:before="0" w:after="0"/>
              <w:contextualSpacing/>
              <w:rPr/>
            </w:pPr>
            <w:r>
              <w:rPr/>
              <w:t>Supporting in the delivery of thematic projects—for example, employment pathways, local supply-chain growth or climate contributions—where social value can add impact.</w:t>
            </w:r>
          </w:p>
          <w:p>
            <w:pPr>
              <w:pStyle w:val="ListParagraph"/>
              <w:numPr>
                <w:ilvl w:val="0"/>
                <w:numId w:val="5"/>
              </w:numPr>
              <w:spacing w:lineRule="auto" w:line="240" w:before="0" w:after="0"/>
              <w:contextualSpacing/>
              <w:rPr/>
            </w:pPr>
            <w:r>
              <w:rPr/>
              <w:t>Aligning project outputs with wider Bolton, Greater Manchester and national priorities to ensure added value and external influence.</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Provide advice, analysis and intelligence to support strategic decision making in relation to Social Value across Bolton Council and its partners and stakeholders.</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Where appropriate contribute to a learning culture within the Service Area, Directorate and Council and be prepared to share learning.</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Maintain up to date knowledge and understanding to articulate how the work of the team contributes to the objectives of the Service Area, Directorate and Council in a range of settings.</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Represent the Service Area, Directorate and Council at meetings as required.</w:t>
            </w:r>
          </w:p>
        </w:tc>
      </w:tr>
      <w:tr>
        <w:trPr/>
        <w:tc>
          <w:tcPr>
            <w:tcW w:w="4568"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Job Description updated:</w:t>
            </w:r>
          </w:p>
        </w:tc>
        <w:tc>
          <w:tcPr>
            <w:tcW w:w="506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b/>
                <w:b/>
              </w:rPr>
            </w:pPr>
            <w:r>
              <w:rPr>
                <w:rFonts w:cs="Arial" w:ascii="Arial" w:hAnsi="Arial"/>
                <w:b/>
              </w:rPr>
              <w:t>March 2026</w:t>
            </w:r>
          </w:p>
        </w:tc>
      </w:tr>
      <w:tr>
        <w:trPr/>
        <w:tc>
          <w:tcPr>
            <w:tcW w:w="4568"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Job Description updated by:</w:t>
            </w:r>
          </w:p>
        </w:tc>
        <w:tc>
          <w:tcPr>
            <w:tcW w:w="506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b/>
                <w:b/>
              </w:rPr>
            </w:pPr>
            <w:r>
              <w:rPr>
                <w:rFonts w:cs="Arial" w:ascii="Arial" w:hAnsi="Arial"/>
                <w:b/>
              </w:rPr>
              <w:t xml:space="preserve">Strategy and Policy Manager </w:t>
            </w:r>
          </w:p>
        </w:tc>
      </w:tr>
    </w:tbl>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Pr>
    </w:p>
    <w:p>
      <w:pPr>
        <w:pStyle w:val="Normal"/>
        <w:rPr>
          <w:rFonts w:ascii="Arial" w:hAnsi="Arial" w:cs="Arial"/>
          <w:b/>
          <w:b/>
          <w:bCs/>
          <w:sz w:val="40"/>
          <w:szCs w:val="40"/>
        </w:rPr>
      </w:pPr>
      <w:r>
        <w:rPr>
          <w:rFonts w:cs="Arial" w:ascii="Arial" w:hAnsi="Arial"/>
          <w:b/>
          <w:bCs/>
          <w:sz w:val="40"/>
          <w:szCs w:val="40"/>
        </w:rPr>
        <w:t>Person Specification</w:t>
      </w:r>
    </w:p>
    <w:tbl>
      <w:tblPr>
        <w:tblW w:w="10075" w:type="dxa"/>
        <w:jc w:val="left"/>
        <w:tblInd w:w="0" w:type="dxa"/>
        <w:tblCellMar>
          <w:top w:w="0" w:type="dxa"/>
          <w:left w:w="108" w:type="dxa"/>
          <w:bottom w:w="0" w:type="dxa"/>
          <w:right w:w="108" w:type="dxa"/>
        </w:tblCellMar>
      </w:tblPr>
      <w:tblGrid>
        <w:gridCol w:w="705"/>
        <w:gridCol w:w="955"/>
        <w:gridCol w:w="4826"/>
        <w:gridCol w:w="3579"/>
        <w:gridCol w:w="10"/>
      </w:tblGrid>
      <w:tr>
        <w:trPr/>
        <w:tc>
          <w:tcPr>
            <w:tcW w:w="1660"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405" w:type="dxa"/>
            <w:gridSpan w:val="2"/>
            <w:tcBorders/>
            <w:shd w:fill="auto" w:val="clear"/>
          </w:tcPr>
          <w:p>
            <w:pPr>
              <w:pStyle w:val="Normal"/>
              <w:spacing w:before="60" w:after="60"/>
              <w:rPr>
                <w:rFonts w:ascii="Arial" w:hAnsi="Arial" w:cs="Arial"/>
                <w:b/>
                <w:b/>
              </w:rPr>
            </w:pPr>
            <w:r>
              <w:rPr>
                <w:rFonts w:cs="Arial" w:ascii="Arial" w:hAnsi="Arial"/>
                <w:b/>
              </w:rPr>
              <w:t>CORPORATE RESOURCES</w:t>
            </w:r>
          </w:p>
        </w:tc>
      </w:tr>
      <w:tr>
        <w:trPr/>
        <w:tc>
          <w:tcPr>
            <w:tcW w:w="1660"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405" w:type="dxa"/>
            <w:gridSpan w:val="2"/>
            <w:tcBorders>
              <w:bottom w:val="single" w:sz="4" w:space="0" w:color="000000"/>
            </w:tcBorders>
            <w:shd w:fill="auto" w:val="clear"/>
          </w:tcPr>
          <w:p>
            <w:pPr>
              <w:pStyle w:val="Normal"/>
              <w:spacing w:before="60" w:after="60"/>
              <w:rPr>
                <w:rFonts w:ascii="Arial" w:hAnsi="Arial" w:cs="Arial"/>
                <w:b/>
                <w:b/>
                <w:bCs/>
              </w:rPr>
            </w:pPr>
            <w:r>
              <w:rPr>
                <w:rFonts w:cs="Arial" w:ascii="Arial" w:hAnsi="Arial"/>
                <w:b/>
                <w:bCs/>
              </w:rPr>
              <w:t>PRINCIPAL SOCIAL VALUE OFFICER</w:t>
            </w:r>
          </w:p>
        </w:tc>
      </w:tr>
      <w:tr>
        <w:trPr/>
        <w:tc>
          <w:tcPr>
            <w:tcW w:w="1660" w:type="dxa"/>
            <w:gridSpan w:val="2"/>
            <w:tcBorders>
              <w:top w:val="single" w:sz="4" w:space="0" w:color="000000"/>
              <w:left w:val="single" w:sz="4" w:space="0" w:color="000000"/>
              <w:bottom w:val="single" w:sz="4" w:space="0" w:color="000000"/>
            </w:tcBorders>
            <w:shd w:fill="auto" w:val="clear"/>
          </w:tcPr>
          <w:p>
            <w:pPr>
              <w:pStyle w:val="Normal"/>
              <w:spacing w:before="60" w:after="240"/>
              <w:jc w:val="both"/>
              <w:rPr>
                <w:rFonts w:ascii="Arial" w:hAnsi="Arial" w:cs="Arial"/>
                <w:b/>
                <w:b/>
              </w:rPr>
            </w:pPr>
            <w:r>
              <w:rPr>
                <w:rFonts w:cs="Arial" w:ascii="Arial" w:hAnsi="Arial"/>
                <w:b/>
              </w:rPr>
              <w:t>Stage One</w:t>
            </w:r>
          </w:p>
        </w:tc>
        <w:tc>
          <w:tcPr>
            <w:tcW w:w="8415"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486" w:type="dxa"/>
            <w:gridSpan w:val="3"/>
            <w:tcBorders>
              <w:top w:val="single" w:sz="4" w:space="0" w:color="000000"/>
              <w:lef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Method of Assessment</w:t>
            </w:r>
          </w:p>
        </w:tc>
      </w:tr>
      <w:tr>
        <w:trPr>
          <w:cantSplit w:val="true"/>
        </w:trPr>
        <w:tc>
          <w:tcPr>
            <w:tcW w:w="705" w:type="dxa"/>
            <w:tcBorders>
              <w:bottom w:val="single" w:sz="4" w:space="0" w:color="000000"/>
            </w:tcBorders>
            <w:shd w:fill="D9D9D9" w:val="clear"/>
          </w:tcPr>
          <w:p>
            <w:pPr>
              <w:pStyle w:val="Normal"/>
              <w:spacing w:before="60" w:after="60"/>
              <w:jc w:val="both"/>
              <w:rPr>
                <w:rFonts w:ascii="Arial" w:hAnsi="Arial" w:cs="Arial"/>
                <w:b/>
                <w:b/>
              </w:rPr>
            </w:pPr>
            <w:r>
              <w:rPr>
                <w:rFonts w:cs="Arial" w:ascii="Arial" w:hAnsi="Arial"/>
                <w:b/>
              </w:rPr>
              <w:t>1.</w:t>
            </w:r>
          </w:p>
        </w:tc>
        <w:tc>
          <w:tcPr>
            <w:tcW w:w="9360" w:type="dxa"/>
            <w:gridSpan w:val="3"/>
            <w:tcBorders>
              <w:bottom w:val="single" w:sz="4" w:space="0" w:color="000000"/>
            </w:tcBorders>
            <w:shd w:fill="D9D9D9" w:val="clear"/>
          </w:tcPr>
          <w:p>
            <w:pPr>
              <w:pStyle w:val="Normal"/>
              <w:spacing w:before="60" w:after="60"/>
              <w:jc w:val="both"/>
              <w:rPr>
                <w:rFonts w:ascii="Arial" w:hAnsi="Arial" w:cs="Arial"/>
                <w:b/>
                <w:b/>
              </w:rPr>
            </w:pPr>
            <w:r>
              <w:rPr>
                <w:rFonts w:cs="Arial" w:ascii="Arial" w:hAnsi="Arial"/>
                <w:b/>
              </w:rPr>
              <w:t>Skills and Knowledge</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81" w:type="dxa"/>
            <w:gridSpan w:val="2"/>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Strong understanding of national, regional and local social value policy, legislation and best practice, and their application within local government.</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781" w:type="dxa"/>
            <w:gridSpan w:val="2"/>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Knowledge of social value programme design, performance frameworks and outcome measurement approaches to monitor and report delivery and social and economic impact across the organisation.</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781" w:type="dxa"/>
            <w:gridSpan w:val="2"/>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Good understanding of how social, economic and environmental impact intersect with local prosperity, community need and inequality, and awareness of relevant statutory and regulatory responsibilities, including equality considerations.</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781" w:type="dxa"/>
            <w:gridSpan w:val="2"/>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think strategically about social value, analyse complex data and contracts, and develop practical approaches to maximise impact.</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tc>
        <w:tc>
          <w:tcPr>
            <w:tcW w:w="5781" w:type="dxa"/>
            <w:gridSpan w:val="2"/>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Awareness of the organisational and political context in local government, including the challenges of embedding social value across a complex council and partnership environment.</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781" w:type="dxa"/>
            <w:gridSpan w:val="2"/>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Excellent stakeholder engagement and communication skills, including the ability to work creatively with commissioners, suppliers, partners and stakeholders to secure social value outcomes.</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5"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7.</w:t>
            </w:r>
          </w:p>
        </w:tc>
        <w:tc>
          <w:tcPr>
            <w:tcW w:w="5781" w:type="dxa"/>
            <w:gridSpan w:val="2"/>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Proven project and programme management skills, including leading cross-departmental workstreams, delivering strategic social value projects and leading teams, networks and delivery groups.</w:t>
            </w:r>
          </w:p>
        </w:tc>
        <w:tc>
          <w:tcPr>
            <w:tcW w:w="3579" w:type="dxa"/>
            <w:tcBorders>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5" w:type="dxa"/>
            <w:tcBorders/>
            <w:shd w:fill="auto" w:val="clear"/>
          </w:tcPr>
          <w:p>
            <w:pPr>
              <w:pStyle w:val="Normal"/>
              <w:snapToGrid w:val="false"/>
              <w:spacing w:before="120" w:after="120"/>
              <w:jc w:val="both"/>
              <w:rPr>
                <w:rFonts w:ascii="Arial" w:hAnsi="Arial" w:cs="Arial"/>
              </w:rPr>
            </w:pPr>
            <w:r>
              <w:rPr>
                <w:rFonts w:cs="Arial" w:ascii="Arial" w:hAnsi="Arial"/>
              </w:rPr>
            </w:r>
          </w:p>
        </w:tc>
        <w:tc>
          <w:tcPr>
            <w:tcW w:w="5781" w:type="dxa"/>
            <w:gridSpan w:val="2"/>
            <w:tcBorders/>
            <w:shd w:fill="auto" w:val="clear"/>
          </w:tcPr>
          <w:p>
            <w:pPr>
              <w:pStyle w:val="Normal"/>
              <w:spacing w:before="120" w:after="120"/>
              <w:ind w:left="0" w:right="175" w:hanging="0"/>
              <w:jc w:val="both"/>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579" w:type="dxa"/>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10075"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2.</w:t>
              <w:tab/>
              <w:t>Experience/Qualifications/Training etc</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81"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and understanding of social value in public services</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781"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 relevant degree level qualification or equivalent experience </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Application Form/Certificate </w:t>
            </w:r>
          </w:p>
        </w:tc>
      </w:tr>
      <w:tr>
        <w:trPr>
          <w:cantSplit w:val="true"/>
        </w:trPr>
        <w:tc>
          <w:tcPr>
            <w:tcW w:w="10075" w:type="dxa"/>
            <w:gridSpan w:val="4"/>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3.</w:t>
              <w:tab/>
              <w:t>Work Related Circumstances</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781"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81"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81" w:type="dxa"/>
            <w:gridSpan w:val="2"/>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This role requires the job holder to work outside of normal office hours, for example at evenings and weekends, to meet the needs of the service. </w:t>
            </w:r>
          </w:p>
        </w:tc>
        <w:tc>
          <w:tcPr>
            <w:tcW w:w="3579" w:type="dxa"/>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 xml:space="preserve">Interview  </w:t>
            </w:r>
          </w:p>
        </w:tc>
      </w:tr>
    </w:tbl>
    <w:p>
      <w:pPr>
        <w:pStyle w:val="Normal"/>
        <w:spacing w:lineRule="auto" w:line="240" w:before="0" w:after="0"/>
        <w:rPr>
          <w:rFonts w:ascii="Arial" w:hAnsi="Arial" w:cs="Arial"/>
          <w:b/>
          <w:b/>
        </w:rPr>
      </w:pPr>
      <w:r>
        <w:rPr>
          <w:rFonts w:cs="Arial" w:ascii="Arial" w:hAnsi="Arial"/>
          <w:b/>
        </w:rPr>
      </w:r>
    </w:p>
    <w:tbl>
      <w:tblPr>
        <w:tblW w:w="9627" w:type="dxa"/>
        <w:jc w:val="left"/>
        <w:tblInd w:w="0" w:type="dxa"/>
        <w:tblCellMar>
          <w:top w:w="0" w:type="dxa"/>
          <w:left w:w="108" w:type="dxa"/>
          <w:bottom w:w="0" w:type="dxa"/>
          <w:right w:w="108" w:type="dxa"/>
        </w:tblCellMar>
      </w:tblPr>
      <w:tblGrid>
        <w:gridCol w:w="5812"/>
        <w:gridCol w:w="3815"/>
      </w:tblGrid>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Date Person Specification updated</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 xml:space="preserve">March 2026 </w:t>
            </w:r>
          </w:p>
        </w:tc>
      </w:tr>
      <w:tr>
        <w:trPr/>
        <w:tc>
          <w:tcPr>
            <w:tcW w:w="5812" w:type="dxa"/>
            <w:tcBorders/>
            <w:shd w:fill="auto" w:val="clear"/>
          </w:tcPr>
          <w:p>
            <w:pPr>
              <w:pStyle w:val="Normal"/>
              <w:spacing w:lineRule="auto" w:line="240" w:before="0" w:after="0"/>
              <w:rPr>
                <w:rFonts w:ascii="Arial" w:hAnsi="Arial" w:cs="Arial"/>
                <w:b/>
                <w:b/>
              </w:rPr>
            </w:pPr>
            <w:r>
              <w:rPr>
                <w:rFonts w:cs="Arial" w:ascii="Arial" w:hAnsi="Arial"/>
                <w:b/>
              </w:rPr>
              <w:t>Person Specification updated by</w:t>
            </w:r>
          </w:p>
        </w:tc>
        <w:tc>
          <w:tcPr>
            <w:tcW w:w="3815" w:type="dxa"/>
            <w:tcBorders/>
            <w:shd w:fill="auto" w:val="clear"/>
          </w:tcPr>
          <w:p>
            <w:pPr>
              <w:pStyle w:val="Normal"/>
              <w:spacing w:lineRule="auto" w:line="240" w:before="0" w:after="0"/>
              <w:rPr>
                <w:rFonts w:ascii="Arial" w:hAnsi="Arial" w:cs="Arial"/>
                <w:b/>
                <w:b/>
              </w:rPr>
            </w:pPr>
            <w:r>
              <w:rPr>
                <w:rFonts w:cs="Arial" w:ascii="Arial" w:hAnsi="Arial"/>
                <w:b/>
              </w:rPr>
              <w:t>Strategy and Policy Manager</w:t>
            </w:r>
          </w:p>
        </w:tc>
      </w:tr>
    </w:tbl>
    <w:p>
      <w:pPr>
        <w:pStyle w:val="Normal"/>
        <w:spacing w:lineRule="auto" w:line="240" w:before="0" w:after="0"/>
        <w:rPr>
          <w:rFonts w:ascii="Arial" w:hAnsi="Arial" w:cs="Arial"/>
          <w:b/>
          <w:b/>
        </w:rPr>
      </w:pPr>
      <w:r>
        <w:rPr>
          <w:rFonts w:cs="Arial" w:ascii="Arial" w:hAnsi="Arial"/>
          <w:b/>
        </w:rPr>
      </w:r>
    </w:p>
    <w:p>
      <w:pPr>
        <w:sectPr>
          <w:headerReference w:type="default" r:id="rId5"/>
          <w:footerReference w:type="default" r:id="rId6"/>
          <w:type w:val="nextPage"/>
          <w:pgSz w:w="11906" w:h="16838"/>
          <w:pgMar w:left="1134" w:right="1134" w:header="709" w:top="1361" w:footer="709" w:bottom="1134" w:gutter="0"/>
          <w:pgNumType w:fmt="decimal"/>
          <w:formProt w:val="false"/>
          <w:textDirection w:val="lrTb"/>
          <w:docGrid w:type="default" w:linePitch="360" w:charSpace="4096"/>
        </w:sectPr>
        <w:pStyle w:val="Normal"/>
        <w:spacing w:lineRule="auto" w:line="240" w:before="0" w:after="0"/>
        <w:rPr>
          <w:rFonts w:ascii="Arial" w:hAnsi="Arial" w:cs="Arial"/>
          <w:b/>
          <w:b/>
        </w:rPr>
      </w:pPr>
      <w:r>
        <w:rPr>
          <w:rFonts w:cs="Arial" w:ascii="Arial" w:hAnsi="Arial"/>
          <w:b/>
        </w:rPr>
      </w:r>
    </w:p>
    <w:p>
      <w:pPr>
        <w:pStyle w:val="Normal"/>
        <w:spacing w:lineRule="auto" w:line="240" w:before="0" w:after="0"/>
        <w:jc w:val="both"/>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jc w:val="both"/>
        <w:rPr>
          <w:rFonts w:ascii="Arial" w:hAnsi="Arial" w:cs="Arial"/>
          <w:b/>
          <w:b/>
        </w:rPr>
      </w:pPr>
      <w:r>
        <w:rPr>
          <w:rFonts w:cs="Arial" w:ascii="Arial" w:hAnsi="Arial"/>
          <w:b/>
        </w:rPr>
      </w:r>
    </w:p>
    <w:p>
      <w:pPr>
        <w:pStyle w:val="Normal"/>
        <w:keepLines/>
        <w:spacing w:lineRule="auto" w:line="240" w:before="0" w:after="0"/>
        <w:jc w:val="both"/>
        <w:rPr>
          <w:rFonts w:ascii="Arial" w:hAnsi="Arial" w:cs="Arial"/>
          <w:b/>
          <w:b/>
        </w:rPr>
      </w:pPr>
      <w:r>
        <w:rPr>
          <w:rFonts w:cs="Arial" w:ascii="Arial" w:hAnsi="Arial"/>
          <w:b/>
        </w:rPr>
        <w:t>Developing Self &amp; Others</w:t>
      </w:r>
    </w:p>
    <w:p>
      <w:pPr>
        <w:pStyle w:val="Normal"/>
        <w:spacing w:lineRule="auto" w:line="240" w:before="0" w:after="0"/>
        <w:jc w:val="both"/>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Civil Contingencies</w:t>
      </w:r>
    </w:p>
    <w:p>
      <w:pPr>
        <w:pStyle w:val="Normal"/>
        <w:spacing w:lineRule="auto" w:line="240" w:before="0" w:after="0"/>
        <w:jc w:val="both"/>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Equality &amp; Diversity</w:t>
      </w:r>
    </w:p>
    <w:p>
      <w:pPr>
        <w:pStyle w:val="Normal"/>
        <w:spacing w:lineRule="auto" w:line="240" w:before="0" w:after="0"/>
        <w:jc w:val="both"/>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Customer Care</w:t>
      </w:r>
    </w:p>
    <w:p>
      <w:pPr>
        <w:pStyle w:val="Normal"/>
        <w:spacing w:lineRule="auto" w:line="240" w:before="0" w:after="0"/>
        <w:jc w:val="both"/>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jc w:val="both"/>
        <w:rPr>
          <w:rFonts w:ascii="Arial" w:hAnsi="Arial" w:cs="Arial"/>
          <w:color w:val="0000FF"/>
          <w:u w:val="single"/>
        </w:rPr>
      </w:pPr>
      <w:r>
        <w:rPr>
          <w:rFonts w:cs="Arial" w:ascii="Arial" w:hAnsi="Arial"/>
          <w:color w:val="0000FF"/>
          <w:u w:val="single"/>
        </w:rPr>
      </w:r>
    </w:p>
    <w:p>
      <w:pPr>
        <w:pStyle w:val="Normal"/>
        <w:keepLines/>
        <w:spacing w:lineRule="auto" w:line="240" w:before="0" w:after="0"/>
        <w:jc w:val="both"/>
        <w:rPr>
          <w:rFonts w:ascii="Arial" w:hAnsi="Arial" w:cs="Arial"/>
          <w:b/>
          <w:b/>
        </w:rPr>
      </w:pPr>
      <w:r>
        <w:rPr>
          <w:rFonts w:cs="Arial" w:ascii="Arial" w:hAnsi="Arial"/>
          <w:b/>
        </w:rPr>
        <w:t>Health &amp; Safety</w:t>
      </w:r>
    </w:p>
    <w:p>
      <w:pPr>
        <w:pStyle w:val="Normal"/>
        <w:spacing w:lineRule="auto" w:line="240" w:before="0" w:after="0"/>
        <w:jc w:val="both"/>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rPr>
      </w:pPr>
      <w:r>
        <w:rPr>
          <w:rFonts w:cs="Arial" w:ascii="Arial" w:hAnsi="Arial"/>
          <w:b/>
          <w:bCs/>
        </w:rPr>
        <w:t>Data Protection and Confidentiality</w:t>
      </w:r>
    </w:p>
    <w:p>
      <w:pPr>
        <w:pStyle w:val="Normal"/>
        <w:spacing w:lineRule="auto" w:line="240" w:before="0" w:after="0"/>
        <w:jc w:val="both"/>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lang w:val="en-US"/>
        </w:rPr>
      </w:pPr>
      <w:r>
        <w:rPr>
          <w:rFonts w:cs="Arial" w:ascii="Arial" w:hAnsi="Arial"/>
          <w:b/>
          <w:lang w:val="en-US"/>
        </w:rPr>
        <w:t>Fluency Duty</w:t>
      </w:r>
    </w:p>
    <w:p>
      <w:pPr>
        <w:pStyle w:val="Normal"/>
        <w:spacing w:lineRule="auto" w:line="240" w:before="0" w:after="0"/>
        <w:jc w:val="both"/>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jc w:val="both"/>
        <w:rPr>
          <w:rFonts w:ascii="Arial" w:hAnsi="Arial" w:cs="Arial"/>
          <w:lang w:val="en-US"/>
        </w:rPr>
      </w:pPr>
      <w:r>
        <w:rPr>
          <w:rFonts w:cs="Arial" w:ascii="Arial" w:hAnsi="Arial"/>
          <w:lang w:val="en-US"/>
        </w:rPr>
      </w:r>
    </w:p>
    <w:p>
      <w:pPr>
        <w:pStyle w:val="Normal"/>
        <w:spacing w:lineRule="auto" w:line="240" w:before="0" w:after="0"/>
        <w:jc w:val="both"/>
        <w:rPr>
          <w:rFonts w:ascii="Arial" w:hAnsi="Arial" w:cs="Arial"/>
          <w:b/>
          <w:b/>
        </w:rPr>
      </w:pPr>
      <w:r>
        <w:rPr>
          <w:rFonts w:cs="Arial" w:ascii="Arial" w:hAnsi="Arial"/>
          <w:b/>
        </w:rPr>
        <w:t>Working Hours</w:t>
      </w:r>
    </w:p>
    <w:p>
      <w:pPr>
        <w:pStyle w:val="Normal"/>
        <w:spacing w:lineRule="auto" w:line="240" w:before="0" w:after="0"/>
        <w:jc w:val="both"/>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iCs/>
        </w:rPr>
      </w:pPr>
      <w:r>
        <w:rPr>
          <w:rFonts w:cs="Arial" w:ascii="Arial" w:hAnsi="Arial"/>
          <w:b/>
          <w:bCs/>
          <w:iCs/>
        </w:rPr>
        <w:t>Safeguarding</w:t>
      </w:r>
    </w:p>
    <w:p>
      <w:pPr>
        <w:sectPr>
          <w:headerReference w:type="default" r:id="rId7"/>
          <w:footerReference w:type="default" r:id="rId8"/>
          <w:type w:val="nextPage"/>
          <w:pgSz w:w="11906" w:h="16838"/>
          <w:pgMar w:left="1134" w:right="1134" w:header="709" w:top="1361" w:footer="709" w:bottom="1134" w:gutter="0"/>
          <w:pgNumType w:fmt="decimal"/>
          <w:formProt w:val="false"/>
          <w:textDirection w:val="lrTb"/>
          <w:docGrid w:type="default" w:linePitch="360" w:charSpace="4096"/>
        </w:sectPr>
        <w:pStyle w:val="Normal"/>
        <w:jc w:val="both"/>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jc w:val="both"/>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9"/>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10"/>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11"/>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12"/>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13"/>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4"/>
      <w:footerReference w:type="default" r:id="rId15"/>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December 2025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December 2025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December 2025</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December 2025</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footer" Target="footer3.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2026-06-11T09:06:00Z</dcterms:created>
  <dc:creator>Johnson, Andrew</dc:creator>
  <dc:description/>
  <dc:language>en-US</dc:language>
  <cp:lastModifiedBy>Gaskell, Calum</cp:lastModifiedBy>
  <cp:lastPrinted>1995-11-21T17:41:00Z</cp:lastPrinted>
  <dcterms:modified xsi:type="dcterms:W3CDTF">2026-06-15T11:00:00Z</dcterms:modified>
  <cp:revision>3</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0x0101000546D9254E1FD443A6C398E2C0B5643E</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6300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