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b/>
                <w:b/>
              </w:rPr>
            </w:pPr>
            <w:r>
              <w:rPr>
                <w:rFonts w:cs="Arial" w:ascii="Arial" w:hAnsi="Arial"/>
                <w:b/>
              </w:rPr>
              <w:t>Chief Executive’s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b/>
                <w:b/>
                <w:bCs/>
              </w:rPr>
            </w:pPr>
            <w:r>
              <w:rPr>
                <w:rFonts w:cs="Arial" w:ascii="Arial" w:hAnsi="Arial"/>
                <w:b/>
                <w:bCs/>
              </w:rPr>
              <w:t>HR ADVISER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b/>
                <w:b/>
                <w:bCs/>
              </w:rPr>
            </w:pPr>
            <w:r>
              <w:rPr>
                <w:rFonts w:cs="Arial" w:ascii="Arial" w:hAnsi="Arial"/>
                <w:b/>
                <w:bCs/>
              </w:rPr>
              <w:t>G/H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rPr>
            </w:pPr>
            <w:r>
              <w:rPr>
                <w:rFonts w:cs="Arial" w:ascii="Arial" w:hAnsi="Arial"/>
              </w:rPr>
              <w:t>To work as part of the HR Team, delivering HR interventions, providing employment advice/HR solutions to staff and managers and contributing to the development of the HR policy framework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rPr>
            </w:pPr>
            <w:r>
              <w:rPr>
                <w:rFonts w:cs="Arial" w:ascii="Arial" w:hAnsi="Arial"/>
              </w:rPr>
              <w:t>HR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12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120"/>
              <w:rPr>
                <w:rFonts w:ascii="Arial" w:hAnsi="Arial" w:cs="Arial"/>
              </w:rPr>
            </w:pPr>
            <w:r>
              <w:rPr>
                <w:rFonts w:cs="Arial" w:ascii="Arial" w:hAnsi="Arial"/>
              </w:rPr>
              <w:t>May be required to lead small teams/project teams as appropriate.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4006"/>
        <w:gridCol w:w="5065"/>
      </w:tblGrid>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1</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Deliver a high quality HR advisory service to managers and employees across a range of people management issues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2</w:t>
            </w:r>
          </w:p>
        </w:tc>
        <w:tc>
          <w:tcPr>
            <w:tcW w:w="9071" w:type="dxa"/>
            <w:gridSpan w:val="2"/>
            <w:tcBorders/>
            <w:shd w:fill="auto" w:val="clear"/>
          </w:tcPr>
          <w:p>
            <w:pPr>
              <w:pStyle w:val="Normal"/>
              <w:spacing w:lineRule="auto" w:line="240" w:before="0" w:after="120"/>
              <w:jc w:val="both"/>
              <w:rPr>
                <w:rFonts w:ascii="Arial" w:hAnsi="Arial" w:cs="Arial"/>
              </w:rPr>
            </w:pPr>
            <w:r>
              <w:rPr>
                <w:rFonts w:cs="Arial" w:ascii="Arial" w:hAnsi="Arial"/>
              </w:rPr>
              <w:t>Support managers in applying HR policies including recruitment, disciplinary, grievance, absence, and capability procedures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3</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Provide advice on terms and conditions of employment and employee relations matters.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4</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Build effective working relationships with internal stakeholders and external partners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5</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Maintain and utilise HR systems and data to support decision-making and service delivery</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6</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Analyse HR data and information to inform advice and identify trends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7</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Support organisational change, including restructures and redeployment</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8</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Contribute to the development and review of HR policies and procedures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9</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Undertake research into HR best practice and employment legislation</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10</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Deliver training or workshops to managers on HR topics where required</w:t>
            </w:r>
          </w:p>
        </w:tc>
      </w:tr>
      <w:tr>
        <w:trPr>
          <w:trHeight w:val="506" w:hRule="atLeast"/>
        </w:trPr>
        <w:tc>
          <w:tcPr>
            <w:tcW w:w="9637" w:type="dxa"/>
            <w:gridSpan w:val="3"/>
            <w:tcBorders/>
            <w:shd w:fill="D9D9D9" w:val="clear"/>
            <w:vAlign w:val="center"/>
          </w:tcPr>
          <w:p>
            <w:pPr>
              <w:pStyle w:val="Normal"/>
              <w:spacing w:lineRule="auto" w:line="240" w:before="0" w:after="0"/>
              <w:jc w:val="center"/>
              <w:rPr>
                <w:rFonts w:ascii="Arial" w:hAnsi="Arial" w:cs="Arial"/>
                <w:b/>
                <w:b/>
              </w:rPr>
            </w:pPr>
            <w:r>
              <w:rPr>
                <w:rFonts w:cs="Arial" w:ascii="Arial" w:hAnsi="Arial"/>
                <w:b/>
              </w:rPr>
              <w:t>Additional Responsibilities Grade H (progression Level), all of the above plus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1</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Fulfilment of all above responsibilities with very little or no supervision</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2</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Provide proactive, strategic HR advice to allocated service areas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3</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Lead consultation processes with Trade Unions and represent HR at formal meetings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4</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Manage HR projects such as restructures, TUPE transfers, and service reviews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5</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Produce and present complex reports and recommendations to senior managers.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6</w:t>
            </w:r>
          </w:p>
        </w:tc>
        <w:tc>
          <w:tcPr>
            <w:tcW w:w="9071" w:type="dxa"/>
            <w:gridSpan w:val="2"/>
            <w:tcBorders/>
            <w:shd w:fill="auto" w:val="clear"/>
          </w:tcPr>
          <w:p>
            <w:pPr>
              <w:pStyle w:val="Normal"/>
              <w:spacing w:lineRule="auto" w:line="240" w:before="0" w:after="120"/>
              <w:rPr>
                <w:rFonts w:ascii="Arial" w:hAnsi="Arial" w:cs="Arial"/>
              </w:rPr>
            </w:pPr>
            <w:r>
              <w:rPr>
                <w:rFonts w:cs="Arial" w:ascii="Arial" w:hAnsi="Arial"/>
              </w:rPr>
              <w:t>Lead on policy development and continuous improvement initiatives.</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7</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Manage small teams or project groups where required</w:t>
            </w:r>
          </w:p>
        </w:tc>
      </w:tr>
      <w:tr>
        <w:trPr>
          <w:trHeight w:val="506" w:hRule="atLeast"/>
        </w:trPr>
        <w:tc>
          <w:tcPr>
            <w:tcW w:w="566" w:type="dxa"/>
            <w:tcBorders/>
            <w:shd w:fill="auto" w:val="clear"/>
          </w:tcPr>
          <w:p>
            <w:pPr>
              <w:pStyle w:val="Normal"/>
              <w:spacing w:lineRule="auto" w:line="240" w:before="0" w:after="120"/>
              <w:rPr>
                <w:rFonts w:ascii="Arial" w:hAnsi="Arial" w:cs="Arial"/>
                <w:b/>
                <w:b/>
              </w:rPr>
            </w:pPr>
            <w:r>
              <w:rPr>
                <w:rFonts w:cs="Arial" w:ascii="Arial" w:hAnsi="Arial"/>
                <w:b/>
              </w:rPr>
              <w:t>8</w:t>
            </w:r>
          </w:p>
        </w:tc>
        <w:tc>
          <w:tcPr>
            <w:tcW w:w="9071" w:type="dxa"/>
            <w:gridSpan w:val="2"/>
            <w:tcBorders/>
            <w:shd w:fill="auto" w:val="clear"/>
          </w:tcPr>
          <w:p>
            <w:pPr>
              <w:pStyle w:val="Normal"/>
              <w:tabs>
                <w:tab w:val="clear" w:pos="720"/>
                <w:tab w:val="left" w:pos="522" w:leader="none"/>
              </w:tabs>
              <w:spacing w:lineRule="auto" w:line="240" w:before="0" w:after="120"/>
              <w:ind w:left="0" w:right="147" w:hanging="0"/>
              <w:rPr>
                <w:rFonts w:ascii="Arial" w:hAnsi="Arial" w:cs="Arial"/>
              </w:rPr>
            </w:pPr>
            <w:r>
              <w:rPr>
                <w:rFonts w:cs="Arial" w:ascii="Arial" w:hAnsi="Arial"/>
              </w:rPr>
              <w:t>Deputise for the HR Manager where appropriate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HR Manager</w:t>
            </w:r>
          </w:p>
        </w:tc>
      </w:tr>
    </w:tbl>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562"/>
        <w:gridCol w:w="2836"/>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b/>
                <w:b/>
                <w:caps/>
              </w:rPr>
            </w:pPr>
            <w:r>
              <w:rPr>
                <w:rFonts w:cs="Arial" w:ascii="Arial" w:hAnsi="Arial"/>
                <w:b/>
                <w:caps/>
              </w:rPr>
              <w:t>cHIEF EXECUTIVE’S</w:t>
            </w:r>
          </w:p>
        </w:tc>
      </w:tr>
      <w:tr>
        <w:trPr/>
        <w:tc>
          <w:tcPr>
            <w:tcW w:w="1667"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HR ADVISER</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7229"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846"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99"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1.</w:t>
            </w:r>
          </w:p>
        </w:tc>
        <w:tc>
          <w:tcPr>
            <w:tcW w:w="6663" w:type="dxa"/>
            <w:gridSpan w:val="2"/>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Able to understand, interpret and apply the HR Policy Framework.</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Interview/assessment</w:t>
            </w:r>
          </w:p>
        </w:tc>
      </w:tr>
      <w:tr>
        <w:trPr>
          <w:cantSplit w:val="true"/>
        </w:trPr>
        <w:tc>
          <w:tcPr>
            <w:tcW w:w="56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2.</w:t>
            </w:r>
          </w:p>
        </w:tc>
        <w:tc>
          <w:tcPr>
            <w:tcW w:w="6663" w:type="dxa"/>
            <w:gridSpan w:val="2"/>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An up to date knowledge of employment law</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56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3.</w:t>
            </w:r>
          </w:p>
        </w:tc>
        <w:tc>
          <w:tcPr>
            <w:tcW w:w="6663" w:type="dxa"/>
            <w:gridSpan w:val="2"/>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Able to communicate clearly both verbally and in writing in order to persuade and influence.</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4.</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Excellent ICT skills to be able to respond to and follow up requests for information including production and analysis of data</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5.</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Able to plan and prioritise work, whilst retaining flexibility to change work plans to meet new requirements.</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Application/Interview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6.</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Able to form and maintain effective working relationships, within and outside of own team</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7.</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An understanding of the importance of consultation with the Trades Unions and the skills and protocols involved</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p>
            <w:pPr>
              <w:pStyle w:val="Normal"/>
              <w:spacing w:before="80" w:after="80"/>
              <w:rPr>
                <w:rFonts w:ascii="Arial" w:hAnsi="Arial" w:cs="Arial"/>
              </w:rPr>
            </w:pPr>
            <w:r>
              <w:rPr>
                <w:rFonts w:cs="Arial" w:ascii="Arial" w:hAnsi="Arial"/>
              </w:rPr>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8.</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Able to work on own initiative to respond to a variety of situations that can occur on a daily basis.</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9.</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An understanding of the Council’s key priorities and how these will impact on the management of people</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Application/Interview</w:t>
            </w:r>
          </w:p>
        </w:tc>
      </w:tr>
      <w:tr>
        <w:trPr>
          <w:cantSplit w:val="true"/>
        </w:trPr>
        <w:tc>
          <w:tcPr>
            <w:tcW w:w="566" w:type="dxa"/>
            <w:tcBorders>
              <w:bottom w:val="single" w:sz="4" w:space="0" w:color="000000"/>
            </w:tcBorders>
            <w:shd w:fill="auto" w:val="clear"/>
          </w:tcPr>
          <w:p>
            <w:pPr>
              <w:pStyle w:val="Normal"/>
              <w:spacing w:before="80" w:after="80"/>
              <w:rPr>
                <w:rFonts w:ascii="Arial" w:hAnsi="Arial" w:cs="Arial"/>
              </w:rPr>
            </w:pPr>
            <w:r>
              <w:rPr>
                <w:rFonts w:cs="Arial" w:ascii="Arial" w:hAnsi="Arial"/>
              </w:rPr>
              <w:t>10.</w:t>
            </w:r>
          </w:p>
        </w:tc>
        <w:tc>
          <w:tcPr>
            <w:tcW w:w="6663" w:type="dxa"/>
            <w:gridSpan w:val="2"/>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Aware of and able to use a variety of tools to research and investigate issues including analysis of HRMI in order to provide HR solutions</w:t>
            </w:r>
          </w:p>
        </w:tc>
        <w:tc>
          <w:tcPr>
            <w:tcW w:w="2836" w:type="dxa"/>
            <w:tcBorders>
              <w:bottom w:val="single" w:sz="4" w:space="0" w:color="000000"/>
            </w:tcBorders>
            <w:shd w:fill="auto" w:val="clear"/>
          </w:tcPr>
          <w:p>
            <w:pPr>
              <w:pStyle w:val="Normal"/>
              <w:rPr>
                <w:rFonts w:ascii="Arial" w:hAnsi="Arial" w:cs="Arial"/>
              </w:rPr>
            </w:pPr>
            <w:r>
              <w:rPr>
                <w:rFonts w:cs="Arial" w:ascii="Arial" w:hAnsi="Arial"/>
              </w:rPr>
              <w:t>Interview</w:t>
            </w:r>
          </w:p>
          <w:p>
            <w:pPr>
              <w:pStyle w:val="Normal"/>
              <w:spacing w:before="80" w:after="80"/>
              <w:rPr>
                <w:rFonts w:ascii="Arial" w:hAnsi="Arial" w:cs="Arial"/>
              </w:rPr>
            </w:pPr>
            <w:r>
              <w:rPr>
                <w:rFonts w:cs="Arial" w:ascii="Arial" w:hAnsi="Arial"/>
              </w:rPr>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validate management proposals and provide HR advice as to the law, our policy framework and best practice</w:t>
            </w:r>
          </w:p>
        </w:tc>
        <w:tc>
          <w:tcPr>
            <w:tcW w:w="2836" w:type="dxa"/>
            <w:tcBorders>
              <w:bottom w:val="single" w:sz="4" w:space="0" w:color="000000"/>
            </w:tcBorders>
            <w:shd w:fill="auto" w:val="clear"/>
          </w:tcPr>
          <w:p>
            <w:pPr>
              <w:pStyle w:val="Normal"/>
              <w:widowControl/>
              <w:bidi w:val="0"/>
              <w:spacing w:lineRule="auto" w:line="276" w:before="0" w:after="200"/>
              <w:jc w:val="left"/>
              <w:rPr>
                <w:rFonts w:ascii="Arial" w:hAnsi="Arial" w:cs="Arial"/>
              </w:rPr>
            </w:pPr>
            <w:r>
              <w:rPr>
                <w:rFonts w:cs="Arial" w:ascii="Arial" w:hAnsi="Arial"/>
              </w:rPr>
              <w:t>Interview /assessment</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6663"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836"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spacing w:before="0" w:after="0"/>
        <w:rPr/>
      </w:pPr>
      <w:r>
        <w:rPr/>
      </w:r>
    </w:p>
    <w:p>
      <w:pPr>
        <w:pStyle w:val="Normal"/>
        <w:spacing w:before="0" w:after="0"/>
        <w:rPr/>
      </w:pPr>
      <w:r>
        <w:rPr/>
      </w:r>
    </w:p>
    <w:tbl>
      <w:tblPr>
        <w:tblW w:w="10070" w:type="dxa"/>
        <w:jc w:val="left"/>
        <w:tblInd w:w="0" w:type="dxa"/>
        <w:tblCellMar>
          <w:top w:w="0" w:type="dxa"/>
          <w:left w:w="108" w:type="dxa"/>
          <w:bottom w:w="0" w:type="dxa"/>
          <w:right w:w="108" w:type="dxa"/>
        </w:tblCellMar>
      </w:tblPr>
      <w:tblGrid>
        <w:gridCol w:w="561"/>
        <w:gridCol w:w="6522"/>
        <w:gridCol w:w="2987"/>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522" w:type="dxa"/>
            <w:tcBorders>
              <w:top w:val="single" w:sz="4" w:space="0" w:color="000000"/>
              <w:bottom w:val="single" w:sz="4" w:space="0" w:color="000000"/>
            </w:tcBorders>
            <w:shd w:fill="auto" w:val="clear"/>
          </w:tcPr>
          <w:p>
            <w:pPr>
              <w:pStyle w:val="Normal"/>
              <w:spacing w:before="120" w:after="120"/>
              <w:rPr>
                <w:rFonts w:ascii="Arial" w:hAnsi="Arial" w:cs="Arial"/>
                <w:szCs w:val="18"/>
              </w:rPr>
            </w:pPr>
            <w:r>
              <w:rPr>
                <w:rFonts w:cs="Arial" w:ascii="Arial" w:hAnsi="Arial"/>
                <w:szCs w:val="18"/>
              </w:rPr>
              <w:t>Minimum of 5 GCSE's (or equivalent) at Grade 4 (C), which must include Mathematics and English</w:t>
            </w:r>
          </w:p>
        </w:tc>
        <w:tc>
          <w:tcPr>
            <w:tcW w:w="29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Proof of qualification</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522" w:type="dxa"/>
            <w:tcBorders>
              <w:top w:val="single" w:sz="4" w:space="0" w:color="000000"/>
              <w:bottom w:val="single" w:sz="4" w:space="0" w:color="000000"/>
            </w:tcBorders>
            <w:shd w:fill="auto" w:val="clear"/>
          </w:tcPr>
          <w:p>
            <w:pPr>
              <w:pStyle w:val="Normal"/>
              <w:spacing w:before="120" w:after="120"/>
              <w:rPr>
                <w:rFonts w:ascii="Arial" w:hAnsi="Arial" w:cs="Arial"/>
                <w:szCs w:val="18"/>
              </w:rPr>
            </w:pPr>
            <w:r>
              <w:rPr>
                <w:rFonts w:cs="Arial" w:ascii="Arial" w:hAnsi="Arial"/>
                <w:szCs w:val="18"/>
              </w:rPr>
              <w:t>Two or more 'A' levels, or an occupationally suitable Level 3 apprenticeship</w:t>
            </w:r>
          </w:p>
        </w:tc>
        <w:tc>
          <w:tcPr>
            <w:tcW w:w="29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Proof of qualification</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522" w:type="dxa"/>
            <w:tcBorders>
              <w:top w:val="single" w:sz="4" w:space="0" w:color="000000"/>
              <w:bottom w:val="single" w:sz="4" w:space="0" w:color="000000"/>
            </w:tcBorders>
            <w:shd w:fill="auto" w:val="clear"/>
          </w:tcPr>
          <w:p>
            <w:pPr>
              <w:pStyle w:val="Normal"/>
              <w:spacing w:before="120" w:after="120"/>
              <w:rPr>
                <w:rFonts w:ascii="Arial" w:hAnsi="Arial" w:cs="Arial"/>
                <w:szCs w:val="18"/>
              </w:rPr>
            </w:pPr>
            <w:r>
              <w:rPr>
                <w:rFonts w:cs="Arial" w:ascii="Arial" w:hAnsi="Arial"/>
                <w:szCs w:val="18"/>
              </w:rPr>
              <w:t>A minimum of one years’ experience working in a HR environment</w:t>
            </w:r>
          </w:p>
        </w:tc>
        <w:tc>
          <w:tcPr>
            <w:tcW w:w="29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5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Ability to work flexible hours including evenings and weekends, as and when required</w:t>
            </w:r>
          </w:p>
        </w:tc>
        <w:tc>
          <w:tcPr>
            <w:tcW w:w="29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5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Ability to travel effectively around the Borough</w:t>
            </w:r>
          </w:p>
        </w:tc>
        <w:tc>
          <w:tcPr>
            <w:tcW w:w="29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spacing w:before="0" w:after="0"/>
        <w:rPr/>
      </w:pPr>
      <w:r>
        <w:rPr/>
      </w:r>
    </w:p>
    <w:tbl>
      <w:tblPr>
        <w:tblW w:w="10070" w:type="dxa"/>
        <w:jc w:val="left"/>
        <w:tblInd w:w="0" w:type="dxa"/>
        <w:tblCellMar>
          <w:top w:w="0" w:type="dxa"/>
          <w:left w:w="108" w:type="dxa"/>
          <w:bottom w:w="0" w:type="dxa"/>
          <w:right w:w="108" w:type="dxa"/>
        </w:tblCellMar>
      </w:tblPr>
      <w:tblGrid>
        <w:gridCol w:w="561"/>
        <w:gridCol w:w="1247"/>
        <w:gridCol w:w="5275"/>
        <w:gridCol w:w="2977"/>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083"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987"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522"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political structure within local government</w:t>
            </w:r>
          </w:p>
        </w:tc>
        <w:tc>
          <w:tcPr>
            <w:tcW w:w="2977"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522"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Knowledge of local government terms and conditions</w:t>
            </w:r>
          </w:p>
        </w:tc>
        <w:tc>
          <w:tcPr>
            <w:tcW w:w="2977"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 Interview</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522"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Council’s key priorities and how these will impact on the management of people</w:t>
            </w:r>
          </w:p>
        </w:tc>
        <w:tc>
          <w:tcPr>
            <w:tcW w:w="297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Interview</w:t>
            </w:r>
          </w:p>
          <w:p>
            <w:pPr>
              <w:pStyle w:val="Normal"/>
              <w:spacing w:before="120" w:after="120"/>
              <w:rPr>
                <w:rFonts w:ascii="Arial" w:hAnsi="Arial" w:cs="Arial"/>
              </w:rPr>
            </w:pPr>
            <w:r>
              <w:rPr>
                <w:rFonts w:cs="Arial" w:ascii="Arial" w:hAnsi="Arial"/>
              </w:rPr>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522"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Level 5 CIPD qualification</w:t>
            </w:r>
          </w:p>
        </w:tc>
        <w:tc>
          <w:tcPr>
            <w:tcW w:w="2977"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Proof of qualification</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522"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working in HR Service </w:t>
            </w:r>
          </w:p>
        </w:tc>
        <w:tc>
          <w:tcPr>
            <w:tcW w:w="2977"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bl>
    <w:p>
      <w:pPr>
        <w:pStyle w:val="Normal"/>
        <w:spacing w:before="0" w:after="0"/>
        <w:rPr/>
      </w:pPr>
      <w:r>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HR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1088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2026-05-14T14:27:00Z</dcterms:created>
  <dc:creator>Johnson, Andrew</dc:creator>
  <dc:description/>
  <dc:language>en-US</dc:language>
  <cp:lastModifiedBy>Rowbotham, Francesca</cp:lastModifiedBy>
  <cp:lastPrinted>1995-11-21T17:41:00Z</cp:lastPrinted>
  <dcterms:modified xsi:type="dcterms:W3CDTF">2026-05-20T10:47:00Z</dcterms:modified>
  <cp:revision>29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