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5.png" ContentType="image/png"/>
  <Override PartName="/word/media/image4.png" ContentType="image/png"/>
  <Override PartName="/word/media/image6.png" ContentType="image/png"/>
  <Override PartName="/word/media/image7.png" ContentType="image/png"/>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8">
            <wp:simplePos x="0" y="0"/>
            <wp:positionH relativeFrom="column">
              <wp:posOffset>4394835</wp:posOffset>
            </wp:positionH>
            <wp:positionV relativeFrom="paragraph">
              <wp:posOffset>-513080</wp:posOffset>
            </wp:positionV>
            <wp:extent cx="1904365" cy="837565"/>
            <wp:effectExtent l="0" t="0" r="0" b="0"/>
            <wp:wrapNone/>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935" simplePos="0" locked="0" layoutInCell="1" allowOverlap="1" relativeHeight="9">
                <wp:simplePos x="0" y="0"/>
                <wp:positionH relativeFrom="column">
                  <wp:posOffset>-302895</wp:posOffset>
                </wp:positionH>
                <wp:positionV relativeFrom="paragraph">
                  <wp:posOffset>21590</wp:posOffset>
                </wp:positionV>
                <wp:extent cx="2828290" cy="648970"/>
                <wp:effectExtent l="0" t="0"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2" fillcolor="white" stroked="f" style="position:absolute;margin-left:-23.85pt;margin-top:1.7pt;width:222.6pt;height:51pt">
                <w10:wrap type="none"/>
                <v:fill o:detectmouseclick="t" type="solid" color2="black"/>
                <v:stroke color="#3465a4" joinstyle="round" endcap="flat"/>
              </v:rect>
            </w:pict>
          </mc:Fallback>
        </mc:AlternateContent>
      </w:r>
      <w:r>
        <mc:AlternateContent>
          <mc:Choice Requires="wps">
            <w:drawing>
              <wp:anchor behindDoc="0" distT="72390" distB="72390" distL="0" distR="0" simplePos="0" locked="0" layoutInCell="1" allowOverlap="1" relativeHeight="10">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665730" cy="50927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665730" cy="509270"/>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v:textbox>
              </v:rect>
            </w:pict>
          </mc:Fallback>
        </mc:AlternateContent>
      </w:r>
    </w:p>
    <w:p>
      <w:pPr>
        <w:pStyle w:val="Normal"/>
        <w:rPr>
          <w:rFonts w:eastAsia="Calibri" w:cs="Calibri"/>
        </w:rPr>
      </w:pPr>
      <w:r>
        <w:rPr>
          <w:rFonts w:eastAsia="Calibri" w:cs="Calibri"/>
        </w:rPr>
        <w:t xml:space="preserve"> </w:t>
      </w:r>
    </w:p>
    <w:p>
      <w:pPr>
        <w:pStyle w:val="Normal"/>
        <w:rPr/>
      </w:pPr>
      <w:r>
        <w:rPr/>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Adults Communities and Integration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bCs/>
              </w:rPr>
            </w:pPr>
            <w:r>
              <w:rPr>
                <w:rFonts w:cs="Arial" w:ascii="Arial" w:hAnsi="Arial"/>
                <w:b/>
                <w:bCs/>
              </w:rPr>
              <w:t xml:space="preserve">Contract and Quality Monitoring Officer </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Grade G</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pPr>
            <w:bookmarkStart w:id="0" w:name="_Hlk111013756"/>
            <w:r>
              <w:rPr>
                <w:rFonts w:cs="Arial" w:ascii="Arial" w:hAnsi="Arial"/>
                <w:bCs/>
                <w:lang w:eastAsia="en-GB"/>
              </w:rPr>
              <w:t xml:space="preserve">To monitor the quality of services commissioned by the </w:t>
            </w:r>
            <w:bookmarkStart w:id="1" w:name="_Hlk111013502"/>
            <w:r>
              <w:rPr>
                <w:rFonts w:cs="Arial" w:ascii="Arial" w:hAnsi="Arial"/>
                <w:bCs/>
                <w:lang w:eastAsia="en-GB"/>
              </w:rPr>
              <w:t>and Adults Communities and Integration Department</w:t>
            </w:r>
            <w:bookmarkEnd w:id="1"/>
            <w:r>
              <w:rPr>
                <w:rFonts w:cs="Arial" w:ascii="Arial" w:hAnsi="Arial"/>
                <w:bCs/>
                <w:lang w:eastAsia="en-GB"/>
              </w:rPr>
              <w:t>; and, to work with providers to improve the quality of services so that service users</w:t>
            </w:r>
            <w:r>
              <w:rPr>
                <w:rFonts w:cs="Arial" w:ascii="Arial" w:hAnsi="Arial"/>
                <w:lang w:eastAsia="en-GB"/>
              </w:rPr>
              <w:t xml:space="preserve"> have a better experience and quality of life</w:t>
            </w:r>
            <w:bookmarkEnd w:id="0"/>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Principal Quality Assurance and Improvement Officer</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460"/>
        <w:gridCol w:w="4112"/>
        <w:gridCol w:w="5065"/>
      </w:tblGrid>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9177" w:type="dxa"/>
            <w:gridSpan w:val="2"/>
            <w:tcBorders/>
            <w:shd w:fill="auto" w:val="clear"/>
          </w:tcPr>
          <w:p>
            <w:pPr>
              <w:pStyle w:val="Normal"/>
              <w:spacing w:lineRule="auto" w:line="240" w:before="0" w:after="0"/>
              <w:rPr>
                <w:rFonts w:ascii="Arial" w:hAnsi="Arial" w:cs="Arial"/>
                <w:color w:val="000000"/>
                <w:lang w:eastAsia="en-GB"/>
              </w:rPr>
            </w:pPr>
            <w:r>
              <w:rPr>
                <w:rFonts w:cs="Arial" w:ascii="Arial" w:hAnsi="Arial"/>
                <w:color w:val="000000"/>
                <w:lang w:eastAsia="en-GB"/>
              </w:rPr>
              <w:t xml:space="preserve">To closely monitor contracts by working with providers, social workers and key health services to ensure service users receive the best quality of care. </w:t>
            </w:r>
          </w:p>
        </w:tc>
      </w:tr>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9177" w:type="dxa"/>
            <w:gridSpan w:val="2"/>
            <w:tcBorders/>
            <w:shd w:fill="auto" w:val="clear"/>
          </w:tcPr>
          <w:p>
            <w:pPr>
              <w:pStyle w:val="Normal"/>
              <w:spacing w:lineRule="auto" w:line="240" w:before="0" w:after="0"/>
              <w:rPr>
                <w:rFonts w:ascii="Arial" w:hAnsi="Arial" w:cs="Arial"/>
                <w:color w:val="000000"/>
                <w:lang w:eastAsia="en-GB"/>
              </w:rPr>
            </w:pPr>
            <w:r>
              <w:rPr>
                <w:rFonts w:cs="Arial" w:ascii="Arial" w:hAnsi="Arial"/>
                <w:color w:val="000000"/>
                <w:lang w:eastAsia="en-GB"/>
              </w:rPr>
              <w:t>To maintain effective working relationships with service providers, identify and manage risks and ensure continuous service improvement</w:t>
            </w:r>
          </w:p>
        </w:tc>
      </w:tr>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9177" w:type="dxa"/>
            <w:gridSpan w:val="2"/>
            <w:tcBorders/>
            <w:shd w:fill="auto" w:val="clear"/>
          </w:tcPr>
          <w:p>
            <w:pPr>
              <w:pStyle w:val="Normal"/>
              <w:spacing w:lineRule="auto" w:line="240" w:before="0" w:after="0"/>
              <w:rPr>
                <w:rFonts w:ascii="Arial" w:hAnsi="Arial" w:cs="Arial"/>
                <w:color w:val="000000"/>
                <w:lang w:eastAsia="en-GB"/>
              </w:rPr>
            </w:pPr>
            <w:r>
              <w:rPr>
                <w:rFonts w:cs="Arial" w:ascii="Arial" w:hAnsi="Arial"/>
                <w:color w:val="000000"/>
                <w:lang w:eastAsia="en-GB"/>
              </w:rPr>
              <w:t xml:space="preserve">To undertake quality assurance assessments including desktop analysis of service data, quality assurance visits, getting views of key stakeholders (such as service users, staff, other professionals and regulators) and producing validation reports. </w:t>
            </w:r>
          </w:p>
        </w:tc>
      </w:tr>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9177" w:type="dxa"/>
            <w:gridSpan w:val="2"/>
            <w:tcBorders/>
            <w:shd w:fill="auto" w:val="clear"/>
          </w:tcPr>
          <w:p>
            <w:pPr>
              <w:pStyle w:val="Normal"/>
              <w:spacing w:lineRule="auto" w:line="240" w:before="0" w:after="0"/>
              <w:rPr>
                <w:rFonts w:ascii="Arial" w:hAnsi="Arial" w:cs="Arial"/>
                <w:color w:val="000000"/>
                <w:lang w:eastAsia="en-GB"/>
              </w:rPr>
            </w:pPr>
            <w:r>
              <w:rPr>
                <w:rFonts w:cs="Arial" w:ascii="Arial" w:hAnsi="Arial"/>
                <w:color w:val="000000"/>
                <w:lang w:eastAsia="en-GB"/>
              </w:rPr>
              <w:t xml:space="preserve">To work proactively to identify and resolve contract and service issues with providers, this will include staffing a regular duty function. </w:t>
            </w:r>
          </w:p>
        </w:tc>
      </w:tr>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9177"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To ensure that service users, carers, local people and provider engagement activity informs the routine monitoring of contracts and quality.</w:t>
            </w:r>
          </w:p>
        </w:tc>
      </w:tr>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9177"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To contribute to the development of commissioning strategies, plans, market position statements by providing evidence such as contract and quality data/information and any relevant analysis.</w:t>
            </w:r>
          </w:p>
        </w:tc>
      </w:tr>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9177"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To follow departmental and corporate policies, protocols and practices to ensure that providers are delivering in line with contract/service level agreement/funding agreement requirements, methodologies practice around quality and outcome monitoring.</w:t>
            </w:r>
          </w:p>
        </w:tc>
      </w:tr>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9177" w:type="dxa"/>
            <w:gridSpan w:val="2"/>
            <w:tcBorders/>
            <w:shd w:fill="auto" w:val="clear"/>
          </w:tcPr>
          <w:p>
            <w:pPr>
              <w:pStyle w:val="Normal"/>
              <w:spacing w:lineRule="auto" w:line="240" w:before="0" w:after="0"/>
              <w:rPr>
                <w:rFonts w:ascii="Arial" w:hAnsi="Arial" w:cs="Arial"/>
                <w:color w:val="000000"/>
                <w:lang w:eastAsia="en-GB"/>
              </w:rPr>
            </w:pPr>
            <w:r>
              <w:rPr>
                <w:rFonts w:cs="Arial" w:ascii="Arial" w:hAnsi="Arial"/>
                <w:color w:val="000000"/>
                <w:lang w:eastAsia="en-GB"/>
              </w:rPr>
              <w:t>To advise other Commissioning Team colleagues on specific contract development requirements and compliance issues/options where the on-going contract risks require corrective action.</w:t>
            </w:r>
          </w:p>
        </w:tc>
      </w:tr>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9177" w:type="dxa"/>
            <w:gridSpan w:val="2"/>
            <w:tcBorders/>
            <w:shd w:fill="auto" w:val="clear"/>
          </w:tcPr>
          <w:p>
            <w:pPr>
              <w:pStyle w:val="Normal"/>
              <w:spacing w:lineRule="auto" w:line="240" w:before="0" w:after="0"/>
              <w:rPr>
                <w:rFonts w:ascii="Arial" w:hAnsi="Arial" w:cs="Arial"/>
                <w:color w:val="000000"/>
              </w:rPr>
            </w:pPr>
            <w:r>
              <w:rPr>
                <w:rFonts w:cs="Arial" w:ascii="Arial" w:hAnsi="Arial"/>
                <w:color w:val="000000"/>
              </w:rPr>
              <w:t>To support procurement activity by assisting with the preparation of the tender, quotes or grant making documentation.</w:t>
            </w:r>
          </w:p>
        </w:tc>
      </w:tr>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9177" w:type="dxa"/>
            <w:gridSpan w:val="2"/>
            <w:tcBorders/>
            <w:shd w:fill="auto" w:val="clear"/>
          </w:tcPr>
          <w:p>
            <w:pPr>
              <w:pStyle w:val="Normal"/>
              <w:tabs>
                <w:tab w:val="left" w:pos="720" w:leader="none"/>
                <w:tab w:val="left" w:pos="3600" w:leader="none"/>
              </w:tabs>
              <w:spacing w:lineRule="auto" w:line="240" w:before="0" w:after="0"/>
              <w:rPr>
                <w:rFonts w:ascii="Arial" w:hAnsi="Arial" w:cs="Arial"/>
              </w:rPr>
            </w:pPr>
            <w:r>
              <w:rPr>
                <w:rFonts w:cs="Arial" w:ascii="Arial" w:hAnsi="Arial"/>
              </w:rPr>
              <w:t>To provide information for commissioning related impact assessments highlighting key risks and ensuring contracts are risk managed.</w:t>
            </w:r>
          </w:p>
        </w:tc>
      </w:tr>
      <w:tr>
        <w:trPr>
          <w:trHeight w:val="506" w:hRule="atLeast"/>
        </w:trPr>
        <w:tc>
          <w:tcPr>
            <w:tcW w:w="460" w:type="dxa"/>
            <w:tcBorders/>
            <w:shd w:fill="auto" w:val="clear"/>
          </w:tcPr>
          <w:p>
            <w:pPr>
              <w:pStyle w:val="Normal"/>
              <w:spacing w:lineRule="auto" w:line="240" w:before="0" w:after="0"/>
              <w:rPr>
                <w:rFonts w:ascii="Arial" w:hAnsi="Arial" w:cs="Arial"/>
                <w:b/>
                <w:b/>
              </w:rPr>
            </w:pPr>
            <w:r>
              <w:rPr>
                <w:rFonts w:cs="Arial" w:ascii="Arial" w:hAnsi="Arial"/>
                <w:b/>
              </w:rPr>
              <w:t>11</w:t>
            </w:r>
          </w:p>
        </w:tc>
        <w:tc>
          <w:tcPr>
            <w:tcW w:w="9177" w:type="dxa"/>
            <w:gridSpan w:val="2"/>
            <w:tcBorders/>
            <w:shd w:fill="auto" w:val="clear"/>
          </w:tcPr>
          <w:p>
            <w:pPr>
              <w:pStyle w:val="Normal"/>
              <w:spacing w:lineRule="auto" w:line="240" w:before="0" w:after="0"/>
              <w:rPr>
                <w:rFonts w:ascii="Arial" w:hAnsi="Arial" w:cs="Arial"/>
                <w:color w:val="000000"/>
                <w:lang w:eastAsia="en-GB"/>
              </w:rPr>
            </w:pPr>
            <w:r>
              <w:rPr>
                <w:rFonts w:cs="Arial" w:ascii="Arial" w:hAnsi="Arial"/>
                <w:color w:val="000000"/>
                <w:lang w:eastAsia="en-GB"/>
              </w:rPr>
              <w:t>To undertake any other reasonable duty as directed by the Head of Service.</w:t>
            </w:r>
          </w:p>
        </w:tc>
      </w:tr>
      <w:tr>
        <w:trPr>
          <w:trHeight w:val="506" w:hRule="atLeast"/>
        </w:trPr>
        <w:tc>
          <w:tcPr>
            <w:tcW w:w="460"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9177" w:type="dxa"/>
            <w:gridSpan w:val="2"/>
            <w:tcBorders/>
            <w:shd w:fill="auto" w:val="clear"/>
          </w:tcPr>
          <w:p>
            <w:pPr>
              <w:pStyle w:val="Normal"/>
              <w:snapToGrid w:val="false"/>
              <w:spacing w:lineRule="auto" w:line="240" w:before="0" w:after="0"/>
              <w:rPr>
                <w:rFonts w:ascii="Arial" w:hAnsi="Arial" w:cs="Arial"/>
                <w:b/>
                <w:b/>
                <w:color w:val="000000"/>
              </w:rPr>
            </w:pPr>
            <w:r>
              <w:rPr>
                <w:rFonts w:cs="Arial" w:ascii="Arial" w:hAnsi="Arial"/>
                <w:b/>
                <w:color w:val="000000"/>
              </w:rPr>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August 2022</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 xml:space="preserve">Job Description updated by: </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Amanda Symes, Head of Quality Assurance &amp; Improvement</w:t>
            </w:r>
          </w:p>
          <w:p>
            <w:pPr>
              <w:pStyle w:val="Normal"/>
              <w:spacing w:lineRule="auto" w:line="240" w:before="0" w:after="0"/>
              <w:rPr>
                <w:rFonts w:ascii="Arial" w:hAnsi="Arial" w:cs="Arial"/>
                <w:b/>
                <w:b/>
              </w:rPr>
            </w:pPr>
            <w:r>
              <w:rPr>
                <w:rFonts w:cs="Arial" w:ascii="Arial" w:hAnsi="Arial"/>
                <w:b/>
              </w:rPr>
            </w:r>
          </w:p>
        </w:tc>
      </w:tr>
    </w:tbl>
    <w:p>
      <w:pPr>
        <w:sectPr>
          <w:footerReference w:type="default" r:id="rId4"/>
          <w:type w:val="nextPage"/>
          <w:pgSz w:w="11906" w:h="16838"/>
          <w:pgMar w:left="1134" w:right="1134" w:header="0" w:top="1361" w:footer="709" w:bottom="1134" w:gutter="0"/>
          <w:pgNumType w:fmt="decimal"/>
          <w:formProt w:val="false"/>
          <w:textDirection w:val="lrTb"/>
          <w:docGrid w:type="default" w:linePitch="360" w:charSpace="4096"/>
        </w:sectPr>
      </w:pPr>
    </w:p>
    <w:p>
      <w:pPr>
        <w:pStyle w:val="Normal"/>
        <w:rPr>
          <w:rFonts w:ascii="Arial" w:hAnsi="Arial" w:cs="Arial"/>
          <w:b/>
          <w:b/>
        </w:rPr>
      </w:pPr>
      <w:r>
        <w:rPr/>
        <w:drawing>
          <wp:inline distT="0" distB="0" distL="0" distR="0">
            <wp:extent cx="3692525"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5"/>
                    <a:srcRect l="-12" t="-84" r="-12" b="-84"/>
                    <a:stretch>
                      <a:fillRect/>
                    </a:stretch>
                  </pic:blipFill>
                  <pic:spPr bwMode="auto">
                    <a:xfrm>
                      <a:off x="0" y="0"/>
                      <a:ext cx="3692525" cy="513715"/>
                    </a:xfrm>
                    <a:prstGeom prst="rect">
                      <a:avLst/>
                    </a:prstGeom>
                  </pic:spPr>
                </pic:pic>
              </a:graphicData>
            </a:graphic>
          </wp:inline>
        </w:drawing>
      </w:r>
    </w:p>
    <w:tbl>
      <w:tblPr>
        <w:tblW w:w="10075" w:type="dxa"/>
        <w:jc w:val="left"/>
        <w:tblInd w:w="0" w:type="dxa"/>
        <w:tblCellMar>
          <w:top w:w="0" w:type="dxa"/>
          <w:left w:w="108" w:type="dxa"/>
          <w:bottom w:w="0" w:type="dxa"/>
          <w:right w:w="108" w:type="dxa"/>
        </w:tblCellMar>
      </w:tblPr>
      <w:tblGrid>
        <w:gridCol w:w="675"/>
        <w:gridCol w:w="33"/>
        <w:gridCol w:w="959"/>
        <w:gridCol w:w="4800"/>
        <w:gridCol w:w="19"/>
        <w:gridCol w:w="3579"/>
        <w:gridCol w:w="10"/>
      </w:tblGrid>
      <w:tr>
        <w:trPr/>
        <w:tc>
          <w:tcPr>
            <w:tcW w:w="1667" w:type="dxa"/>
            <w:gridSpan w:val="3"/>
            <w:tcBorders/>
            <w:shd w:fill="auto" w:val="clear"/>
          </w:tcPr>
          <w:p>
            <w:pPr>
              <w:pStyle w:val="Normal"/>
              <w:spacing w:before="60" w:after="60"/>
              <w:rPr>
                <w:rFonts w:ascii="Arial" w:hAnsi="Arial" w:cs="Arial"/>
                <w:b/>
                <w:b/>
              </w:rPr>
            </w:pPr>
            <w:r>
              <w:rPr>
                <w:rFonts w:cs="Arial" w:ascii="Arial" w:hAnsi="Arial"/>
                <w:b/>
              </w:rPr>
              <w:t>Department</w:t>
            </w:r>
          </w:p>
        </w:tc>
        <w:tc>
          <w:tcPr>
            <w:tcW w:w="8398" w:type="dxa"/>
            <w:gridSpan w:val="3"/>
            <w:tcBorders/>
            <w:shd w:fill="auto" w:val="clear"/>
          </w:tcPr>
          <w:p>
            <w:pPr>
              <w:pStyle w:val="Normal"/>
              <w:spacing w:before="60" w:after="60"/>
              <w:rPr>
                <w:rFonts w:ascii="Arial" w:hAnsi="Arial" w:cs="Arial"/>
                <w:b/>
                <w:b/>
                <w:caps/>
              </w:rPr>
            </w:pPr>
            <w:r>
              <w:rPr>
                <w:rFonts w:cs="Arial" w:ascii="Arial" w:hAnsi="Arial"/>
                <w:b/>
                <w:caps/>
              </w:rPr>
              <w:t xml:space="preserve">adults Communities &amp; Integration </w:t>
            </w:r>
          </w:p>
        </w:tc>
      </w:tr>
      <w:tr>
        <w:trPr/>
        <w:tc>
          <w:tcPr>
            <w:tcW w:w="1667" w:type="dxa"/>
            <w:gridSpan w:val="3"/>
            <w:tcBorders>
              <w:bottom w:val="single" w:sz="4" w:space="0" w:color="000000"/>
            </w:tcBorders>
            <w:shd w:fill="auto" w:val="clear"/>
          </w:tcPr>
          <w:p>
            <w:pPr>
              <w:pStyle w:val="Normal"/>
              <w:spacing w:before="60" w:after="240"/>
              <w:rPr>
                <w:rFonts w:ascii="Arial" w:hAnsi="Arial" w:cs="Arial"/>
                <w:b/>
                <w:b/>
              </w:rPr>
            </w:pPr>
            <w:r>
              <w:rPr>
                <w:rFonts w:cs="Arial" w:ascii="Arial" w:hAnsi="Arial"/>
                <w:b/>
              </w:rPr>
              <w:t>Job Title</w:t>
            </w:r>
          </w:p>
        </w:tc>
        <w:tc>
          <w:tcPr>
            <w:tcW w:w="8398" w:type="dxa"/>
            <w:gridSpan w:val="3"/>
            <w:tcBorders>
              <w:bottom w:val="single" w:sz="4" w:space="0" w:color="000000"/>
            </w:tcBorders>
            <w:shd w:fill="auto" w:val="clear"/>
          </w:tcPr>
          <w:p>
            <w:pPr>
              <w:pStyle w:val="Normal"/>
              <w:spacing w:before="60" w:after="60"/>
              <w:rPr>
                <w:rFonts w:ascii="Arial" w:hAnsi="Arial" w:cs="Arial"/>
                <w:b/>
                <w:b/>
                <w:bCs/>
              </w:rPr>
            </w:pPr>
            <w:r>
              <w:rPr>
                <w:rFonts w:cs="Arial" w:ascii="Arial" w:hAnsi="Arial"/>
                <w:b/>
                <w:bCs/>
              </w:rPr>
              <w:t>Contract and Quality Monitoring Officer</w:t>
            </w:r>
          </w:p>
        </w:tc>
      </w:tr>
      <w:tr>
        <w:trPr/>
        <w:tc>
          <w:tcPr>
            <w:tcW w:w="1667" w:type="dxa"/>
            <w:gridSpan w:val="3"/>
            <w:tcBorders>
              <w:top w:val="single" w:sz="4" w:space="0" w:color="000000"/>
              <w:left w:val="single" w:sz="4" w:space="0" w:color="000000"/>
              <w:bottom w:val="single" w:sz="4" w:space="0" w:color="000000"/>
            </w:tcBorders>
            <w:shd w:fill="auto" w:val="clear"/>
          </w:tcPr>
          <w:p>
            <w:pPr>
              <w:pStyle w:val="Normal"/>
              <w:spacing w:before="60" w:after="240"/>
              <w:rPr>
                <w:rFonts w:ascii="Arial" w:hAnsi="Arial" w:cs="Arial"/>
                <w:b/>
                <w:b/>
              </w:rPr>
            </w:pPr>
            <w:r>
              <w:rPr>
                <w:rFonts w:cs="Arial" w:ascii="Arial" w:hAnsi="Arial"/>
                <w:b/>
              </w:rPr>
              <w:t>Stage One</w:t>
            </w:r>
          </w:p>
        </w:tc>
        <w:tc>
          <w:tcPr>
            <w:tcW w:w="8408"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are guaranteed an interview if they meet the essential criteria for the role</w:t>
            </w:r>
          </w:p>
        </w:tc>
      </w:tr>
      <w:tr>
        <w:trPr/>
        <w:tc>
          <w:tcPr>
            <w:tcW w:w="6486" w:type="dxa"/>
            <w:gridSpan w:val="5"/>
            <w:tcBorders>
              <w:top w:val="single" w:sz="4" w:space="0" w:color="000000"/>
              <w:lef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The Minimum Essential Requirements for the above Post are as Follows:</w:t>
            </w:r>
          </w:p>
        </w:tc>
        <w:tc>
          <w:tcPr>
            <w:tcW w:w="358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b/>
              </w:rPr>
            </w:pPr>
            <w:r>
              <w:rPr>
                <w:rFonts w:cs="Arial" w:ascii="Arial" w:hAnsi="Arial"/>
                <w:b/>
              </w:rPr>
              <w:t>1.</w:t>
            </w:r>
          </w:p>
        </w:tc>
        <w:tc>
          <w:tcPr>
            <w:tcW w:w="9390" w:type="dxa"/>
            <w:gridSpan w:val="5"/>
            <w:tcBorders>
              <w:bottom w:val="single" w:sz="4" w:space="0" w:color="000000"/>
            </w:tcBorders>
            <w:shd w:fill="D9D9D9" w:val="clear"/>
          </w:tcPr>
          <w:p>
            <w:pPr>
              <w:pStyle w:val="Normal"/>
              <w:spacing w:before="60" w:after="60"/>
              <w:rPr>
                <w:rFonts w:ascii="Arial" w:hAnsi="Arial" w:cs="Arial"/>
                <w:b/>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811" w:type="dxa"/>
            <w:gridSpan w:val="4"/>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Demonstrate an understanding of the Health and Social Care Act 2012  (Regulated Activities) </w:t>
            </w:r>
          </w:p>
        </w:tc>
        <w:tc>
          <w:tcPr>
            <w:tcW w:w="357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811" w:type="dxa"/>
            <w:gridSpan w:val="4"/>
            <w:tcBorders>
              <w:top w:val="single" w:sz="4" w:space="0" w:color="000000"/>
              <w:bottom w:val="single" w:sz="4" w:space="0" w:color="000000"/>
            </w:tcBorders>
            <w:shd w:fill="auto" w:val="clear"/>
          </w:tcPr>
          <w:p>
            <w:pPr>
              <w:pStyle w:val="Normal"/>
              <w:spacing w:before="120" w:after="120"/>
              <w:ind w:left="0" w:right="175" w:hanging="0"/>
              <w:rPr>
                <w:rFonts w:ascii="Arial" w:hAnsi="Arial" w:cs="Arial"/>
                <w:lang w:eastAsia="en-GB"/>
              </w:rPr>
            </w:pPr>
            <w:r>
              <w:rPr>
                <w:rFonts w:cs="Arial" w:ascii="Arial" w:hAnsi="Arial"/>
                <w:lang w:eastAsia="en-GB"/>
              </w:rPr>
              <w:t xml:space="preserve">Demonstrate an understanding of quality assurance and contract monitoring within a health and social care service.  </w:t>
            </w:r>
          </w:p>
        </w:tc>
        <w:tc>
          <w:tcPr>
            <w:tcW w:w="357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Application/Interview/Test</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811" w:type="dxa"/>
            <w:gridSpan w:val="4"/>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Ability to understand, analyse and draw conclusions from complex quantitative and qualitative data.  </w:t>
            </w:r>
          </w:p>
        </w:tc>
        <w:tc>
          <w:tcPr>
            <w:tcW w:w="357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Application/Interview/Test</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811" w:type="dxa"/>
            <w:gridSpan w:val="4"/>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Demonstrate an understanding of the potential impact on stakeholders of quality assurance and contract monitoring work.   </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811" w:type="dxa"/>
            <w:gridSpan w:val="4"/>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Ability to develop positive relationships with a range of stakeholders including providers, service users, health and social care professionals </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6.</w:t>
            </w:r>
          </w:p>
        </w:tc>
        <w:tc>
          <w:tcPr>
            <w:tcW w:w="5811" w:type="dxa"/>
            <w:gridSpan w:val="4"/>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organise own workload and prioritise tasks in order to meet targets and deadlines.</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7.</w:t>
            </w:r>
          </w:p>
        </w:tc>
        <w:tc>
          <w:tcPr>
            <w:tcW w:w="5811" w:type="dxa"/>
            <w:gridSpan w:val="4"/>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Ability to negotiate, influence and resolve conflicts whilst maintaining positive relationships.  </w:t>
            </w:r>
          </w:p>
        </w:tc>
        <w:tc>
          <w:tcPr>
            <w:tcW w:w="3579" w:type="dxa"/>
            <w:tcBorders>
              <w:bottom w:val="single" w:sz="4" w:space="0" w:color="000000"/>
            </w:tcBorders>
            <w:shd w:fill="auto" w:val="clear"/>
          </w:tcPr>
          <w:p>
            <w:pPr>
              <w:pStyle w:val="Normal"/>
              <w:spacing w:lineRule="auto" w:line="240"/>
              <w:jc w:val="both"/>
              <w:rPr>
                <w:rFonts w:ascii="Arial" w:hAnsi="Arial" w:cs="Arial"/>
                <w:lang w:eastAsia="en-GB"/>
              </w:rPr>
            </w:pPr>
            <w:r>
              <w:rPr>
                <w:rFonts w:cs="Arial" w:ascii="Arial" w:hAnsi="Arial"/>
                <w:lang w:eastAsia="en-GB"/>
              </w:rPr>
              <w:t>Interview</w:t>
            </w:r>
          </w:p>
          <w:p>
            <w:pPr>
              <w:pStyle w:val="Normal"/>
              <w:spacing w:before="120" w:after="120"/>
              <w:rPr>
                <w:rFonts w:ascii="Arial" w:hAnsi="Arial" w:cs="Arial"/>
              </w:rPr>
            </w:pPr>
            <w:r>
              <w:rPr>
                <w:rFonts w:cs="Arial" w:ascii="Arial" w:hAnsi="Arial"/>
              </w:rPr>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 xml:space="preserve">8. </w:t>
            </w:r>
          </w:p>
        </w:tc>
        <w:tc>
          <w:tcPr>
            <w:tcW w:w="5811" w:type="dxa"/>
            <w:gridSpan w:val="4"/>
            <w:tcBorders>
              <w:bottom w:val="single" w:sz="4" w:space="0" w:color="000000"/>
            </w:tcBorders>
            <w:shd w:fill="auto" w:val="clear"/>
          </w:tcPr>
          <w:p>
            <w:pPr>
              <w:pStyle w:val="Normal"/>
              <w:spacing w:before="120" w:after="120"/>
              <w:ind w:left="0" w:right="175" w:hanging="0"/>
              <w:rPr>
                <w:rFonts w:ascii="Arial" w:hAnsi="Arial" w:cs="Arial"/>
                <w:lang w:eastAsia="en-GB"/>
              </w:rPr>
            </w:pPr>
            <w:r>
              <w:rPr>
                <w:rFonts w:cs="Arial" w:ascii="Arial" w:hAnsi="Arial"/>
                <w:lang w:eastAsia="en-GB"/>
              </w:rPr>
              <w:t xml:space="preserve">Ability to communicate complex information effectively in writing and orally with a variety of different audiences. </w:t>
            </w:r>
          </w:p>
        </w:tc>
        <w:tc>
          <w:tcPr>
            <w:tcW w:w="3579" w:type="dxa"/>
            <w:tcBorders>
              <w:bottom w:val="single" w:sz="4" w:space="0" w:color="000000"/>
            </w:tcBorders>
            <w:shd w:fill="auto" w:val="clear"/>
          </w:tcPr>
          <w:p>
            <w:pPr>
              <w:pStyle w:val="Normal"/>
              <w:spacing w:lineRule="auto" w:line="240"/>
              <w:jc w:val="both"/>
              <w:rPr>
                <w:rFonts w:ascii="Arial" w:hAnsi="Arial" w:cs="Arial"/>
                <w:lang w:eastAsia="en-GB"/>
              </w:rPr>
            </w:pPr>
            <w:r>
              <w:rPr>
                <w:rFonts w:cs="Arial" w:ascii="Arial" w:hAnsi="Arial"/>
                <w:lang w:eastAsia="en-GB"/>
              </w:rPr>
              <w:t>Interview/Test</w:t>
            </w:r>
          </w:p>
          <w:p>
            <w:pPr>
              <w:pStyle w:val="Normal"/>
              <w:spacing w:before="120" w:after="120"/>
              <w:rPr>
                <w:rFonts w:ascii="Arial" w:hAnsi="Arial" w:cs="Arial"/>
              </w:rPr>
            </w:pPr>
            <w:r>
              <w:rPr>
                <w:rFonts w:cs="Arial" w:ascii="Arial" w:hAnsi="Arial"/>
              </w:rPr>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9.</w:t>
            </w:r>
          </w:p>
        </w:tc>
        <w:tc>
          <w:tcPr>
            <w:tcW w:w="5811" w:type="dxa"/>
            <w:gridSpan w:val="4"/>
            <w:tcBorders>
              <w:bottom w:val="single" w:sz="4" w:space="0" w:color="000000"/>
            </w:tcBorders>
            <w:shd w:fill="auto" w:val="clear"/>
          </w:tcPr>
          <w:p>
            <w:pPr>
              <w:pStyle w:val="Normal"/>
              <w:spacing w:before="120" w:after="120"/>
              <w:ind w:left="0" w:right="175" w:hanging="0"/>
              <w:rPr>
                <w:rFonts w:ascii="Arial" w:hAnsi="Arial" w:cs="Arial"/>
                <w:lang w:eastAsia="en-GB"/>
              </w:rPr>
            </w:pPr>
            <w:r>
              <w:rPr>
                <w:rFonts w:cs="Arial" w:ascii="Arial" w:hAnsi="Arial"/>
                <w:lang w:eastAsia="en-GB"/>
              </w:rPr>
              <w:t>Evidence of a good level of literacy and numeracy including the ability to understand complex documentation.</w:t>
            </w:r>
          </w:p>
        </w:tc>
        <w:tc>
          <w:tcPr>
            <w:tcW w:w="3579" w:type="dxa"/>
            <w:tcBorders>
              <w:bottom w:val="single" w:sz="4" w:space="0" w:color="000000"/>
            </w:tcBorders>
            <w:shd w:fill="auto" w:val="clear"/>
          </w:tcPr>
          <w:p>
            <w:pPr>
              <w:pStyle w:val="Normal"/>
              <w:spacing w:lineRule="auto" w:line="240"/>
              <w:jc w:val="both"/>
              <w:rPr>
                <w:rFonts w:ascii="Arial" w:hAnsi="Arial" w:cs="Arial"/>
                <w:lang w:eastAsia="en-GB"/>
              </w:rPr>
            </w:pPr>
            <w:r>
              <w:rPr>
                <w:rFonts w:cs="Arial" w:ascii="Arial" w:hAnsi="Arial"/>
                <w:lang w:eastAsia="en-GB"/>
              </w:rPr>
              <w:t>Application/Test</w:t>
            </w:r>
          </w:p>
          <w:p>
            <w:pPr>
              <w:pStyle w:val="Normal"/>
              <w:spacing w:before="120" w:after="120"/>
              <w:rPr>
                <w:rFonts w:ascii="Arial" w:hAnsi="Arial" w:cs="Arial"/>
              </w:rPr>
            </w:pPr>
            <w:r>
              <w:rPr>
                <w:rFonts w:cs="Arial" w:ascii="Arial" w:hAnsi="Arial"/>
              </w:rPr>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10.</w:t>
            </w:r>
          </w:p>
        </w:tc>
        <w:tc>
          <w:tcPr>
            <w:tcW w:w="5811" w:type="dxa"/>
            <w:gridSpan w:val="4"/>
            <w:tcBorders>
              <w:bottom w:val="single" w:sz="4" w:space="0" w:color="000000"/>
            </w:tcBorders>
            <w:shd w:fill="auto" w:val="clear"/>
          </w:tcPr>
          <w:p>
            <w:pPr>
              <w:pStyle w:val="Normal"/>
              <w:spacing w:before="120" w:after="120"/>
              <w:ind w:left="0" w:right="175" w:hanging="0"/>
              <w:rPr>
                <w:rFonts w:ascii="Arial" w:hAnsi="Arial" w:cs="Arial"/>
                <w:lang w:eastAsia="en-GB"/>
              </w:rPr>
            </w:pPr>
            <w:r>
              <w:rPr>
                <w:rFonts w:cs="Arial" w:ascii="Arial" w:hAnsi="Arial"/>
                <w:lang w:eastAsia="en-GB"/>
              </w:rPr>
              <w:t>Ability to work as a member of a team and project groups.</w:t>
            </w:r>
          </w:p>
        </w:tc>
        <w:tc>
          <w:tcPr>
            <w:tcW w:w="3579" w:type="dxa"/>
            <w:tcBorders>
              <w:bottom w:val="single" w:sz="4" w:space="0" w:color="000000"/>
            </w:tcBorders>
            <w:shd w:fill="auto" w:val="clear"/>
          </w:tcPr>
          <w:p>
            <w:pPr>
              <w:pStyle w:val="Normal"/>
              <w:spacing w:lineRule="auto" w:line="240"/>
              <w:jc w:val="both"/>
              <w:rPr>
                <w:rFonts w:ascii="Arial" w:hAnsi="Arial" w:cs="Arial"/>
                <w:lang w:eastAsia="en-GB"/>
              </w:rPr>
            </w:pPr>
            <w:r>
              <w:rPr>
                <w:rFonts w:cs="Arial" w:ascii="Arial" w:hAnsi="Arial"/>
                <w:lang w:eastAsia="en-GB"/>
              </w:rPr>
              <w:t>Interview</w:t>
            </w:r>
          </w:p>
          <w:p>
            <w:pPr>
              <w:pStyle w:val="Normal"/>
              <w:spacing w:before="120" w:after="120"/>
              <w:rPr>
                <w:rFonts w:ascii="Arial" w:hAnsi="Arial" w:cs="Arial"/>
              </w:rPr>
            </w:pPr>
            <w:r>
              <w:rPr>
                <w:rFonts w:cs="Arial" w:ascii="Arial" w:hAnsi="Arial"/>
              </w:rPr>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11.</w:t>
            </w:r>
          </w:p>
        </w:tc>
        <w:tc>
          <w:tcPr>
            <w:tcW w:w="5811" w:type="dxa"/>
            <w:gridSpan w:val="4"/>
            <w:tcBorders>
              <w:bottom w:val="single" w:sz="4" w:space="0" w:color="000000"/>
            </w:tcBorders>
            <w:shd w:fill="auto" w:val="clear"/>
          </w:tcPr>
          <w:p>
            <w:pPr>
              <w:pStyle w:val="Normal"/>
              <w:spacing w:before="120" w:after="120"/>
              <w:ind w:left="0" w:right="175" w:hanging="0"/>
              <w:rPr>
                <w:rFonts w:ascii="Arial" w:hAnsi="Arial" w:cs="Arial"/>
                <w:lang w:eastAsia="en-GB"/>
              </w:rPr>
            </w:pPr>
            <w:r>
              <w:rPr>
                <w:rFonts w:cs="Arial" w:ascii="Arial" w:hAnsi="Arial"/>
                <w:lang w:eastAsia="en-GB"/>
              </w:rPr>
              <w:t>Excellent IT skills including word processing, spreadsheets, databases, email, internet browsers and business specific ICT systems.</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 xml:space="preserve">Application </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12.</w:t>
            </w:r>
          </w:p>
        </w:tc>
        <w:tc>
          <w:tcPr>
            <w:tcW w:w="5811" w:type="dxa"/>
            <w:gridSpan w:val="4"/>
            <w:tcBorders>
              <w:bottom w:val="single" w:sz="4" w:space="0" w:color="000000"/>
            </w:tcBorders>
            <w:shd w:fill="auto" w:val="clear"/>
          </w:tcPr>
          <w:p>
            <w:pPr>
              <w:pStyle w:val="Normal"/>
              <w:spacing w:before="120" w:after="120"/>
              <w:ind w:left="0" w:right="175" w:hanging="0"/>
              <w:rPr/>
            </w:pPr>
            <w:r>
              <w:rPr>
                <w:rFonts w:cs="Arial" w:ascii="Arial" w:hAnsi="Arial"/>
                <w:b/>
              </w:rPr>
              <w:t>Competencies</w:t>
            </w:r>
            <w:r>
              <w:rPr>
                <w:rFonts w:cs="Arial" w:ascii="Arial" w:hAnsi="Arial"/>
              </w:rPr>
              <w:t xml:space="preserve"> – Please note the council’s corporate competencies, which are considered to be essential for all roles, are in the attached CORE COMPETENCIES document</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1007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bottom w:val="single" w:sz="4" w:space="0" w:color="000000"/>
            </w:tcBorders>
            <w:shd w:fill="auto" w:val="clear"/>
          </w:tcPr>
          <w:p>
            <w:pPr>
              <w:pStyle w:val="Normal"/>
              <w:spacing w:before="120" w:after="120"/>
              <w:rPr>
                <w:rFonts w:ascii="Arial" w:hAnsi="Arial" w:cs="Arial"/>
                <w:bCs/>
              </w:rPr>
            </w:pPr>
            <w:r>
              <w:rPr>
                <w:rFonts w:cs="Arial" w:ascii="Arial" w:hAnsi="Arial"/>
                <w:bCs/>
              </w:rPr>
              <w:t xml:space="preserve">Experience of quality assurance, improvement or contract management in a health or social care environment OR experience of working in a health or social care environment. </w:t>
            </w:r>
          </w:p>
        </w:tc>
        <w:tc>
          <w:tcPr>
            <w:tcW w:w="359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bottom w:val="single" w:sz="4" w:space="0" w:color="000000"/>
            </w:tcBorders>
            <w:shd w:fill="auto" w:val="clear"/>
            <w:vAlign w:val="center"/>
          </w:tcPr>
          <w:p>
            <w:pPr>
              <w:pStyle w:val="Normal"/>
              <w:spacing w:before="120" w:after="120"/>
              <w:rPr>
                <w:rFonts w:ascii="Arial" w:hAnsi="Arial" w:cs="Arial"/>
              </w:rPr>
            </w:pPr>
            <w:r>
              <w:rPr>
                <w:rFonts w:cs="Arial" w:ascii="Arial" w:hAnsi="Arial"/>
              </w:rPr>
              <w:t xml:space="preserve">Experience of working with other organisations to deliver improvements that lead to positive outcomes for people.  </w:t>
            </w:r>
          </w:p>
        </w:tc>
        <w:tc>
          <w:tcPr>
            <w:tcW w:w="359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1007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3.</w:t>
              <w:tab/>
              <w:t>Work Related Circumstances</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9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9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59"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This role requires the job holder to work outside of normal office hours, for example at evenings and weekends, to meet the needs of the service.</w:t>
            </w:r>
          </w:p>
        </w:tc>
        <w:tc>
          <w:tcPr>
            <w:tcW w:w="359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759"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 xml:space="preserve">The role involves regular travel to visit providers within Bolton and occasionally to other areas.  </w:t>
            </w:r>
          </w:p>
        </w:tc>
        <w:tc>
          <w:tcPr>
            <w:tcW w:w="3598"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w:t>
            </w:r>
            <w:bookmarkStart w:id="2" w:name="_Hlk110594228"/>
            <w:bookmarkEnd w:id="2"/>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10075" w:type="dxa"/>
        <w:jc w:val="left"/>
        <w:tblInd w:w="0" w:type="dxa"/>
        <w:tblCellMar>
          <w:top w:w="0" w:type="dxa"/>
          <w:left w:w="108" w:type="dxa"/>
          <w:bottom w:w="0" w:type="dxa"/>
          <w:right w:w="108" w:type="dxa"/>
        </w:tblCellMar>
      </w:tblPr>
      <w:tblGrid>
        <w:gridCol w:w="675"/>
        <w:gridCol w:w="1134"/>
        <w:gridCol w:w="4002"/>
        <w:gridCol w:w="678"/>
        <w:gridCol w:w="3576"/>
        <w:gridCol w:w="10"/>
      </w:tblGrid>
      <w:tr>
        <w:trPr>
          <w:trHeight w:val="653" w:hRule="atLeast"/>
        </w:trPr>
        <w:tc>
          <w:tcPr>
            <w:tcW w:w="1809"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8266"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89" w:type="dxa"/>
            <w:gridSpan w:val="4"/>
            <w:tcBorders>
              <w:top w:val="single" w:sz="4" w:space="0" w:color="000000"/>
              <w:left w:val="single" w:sz="4" w:space="0" w:color="000000"/>
              <w:bottom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586"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10075"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10075"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75"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814"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Recognised quality improvement training/qualification e.g. Lean, Six Sigma</w:t>
            </w:r>
          </w:p>
        </w:tc>
        <w:tc>
          <w:tcPr>
            <w:tcW w:w="357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w:t>
            </w:r>
          </w:p>
        </w:tc>
      </w:tr>
      <w:tr>
        <w:trPr/>
        <w:tc>
          <w:tcPr>
            <w:tcW w:w="5811" w:type="dxa"/>
            <w:gridSpan w:val="3"/>
            <w:tcBorders/>
            <w:shd w:fill="auto" w:val="clear"/>
          </w:tcPr>
          <w:p>
            <w:pPr>
              <w:pStyle w:val="Normal"/>
              <w:spacing w:lineRule="auto" w:line="240" w:before="0" w:after="0"/>
              <w:rPr>
                <w:rFonts w:ascii="Arial" w:hAnsi="Arial" w:cs="Arial"/>
                <w:b/>
                <w:b/>
              </w:rPr>
            </w:pPr>
            <w:r>
              <w:rPr>
                <w:rFonts w:cs="Arial" w:ascii="Arial" w:hAnsi="Arial"/>
                <w:b/>
              </w:rPr>
              <w:t>Date Person Specification updated</w:t>
            </w:r>
          </w:p>
        </w:tc>
        <w:tc>
          <w:tcPr>
            <w:tcW w:w="4254" w:type="dxa"/>
            <w:gridSpan w:val="2"/>
            <w:tcBorders/>
            <w:shd w:fill="auto" w:val="clear"/>
          </w:tcPr>
          <w:p>
            <w:pPr>
              <w:pStyle w:val="Normal"/>
              <w:spacing w:lineRule="auto" w:line="240" w:before="0" w:after="0"/>
              <w:rPr>
                <w:rFonts w:ascii="Arial" w:hAnsi="Arial" w:cs="Arial"/>
                <w:b/>
                <w:b/>
              </w:rPr>
            </w:pPr>
            <w:r>
              <w:rPr>
                <w:rFonts w:cs="Arial" w:ascii="Arial" w:hAnsi="Arial"/>
                <w:b/>
              </w:rPr>
              <w:t>August 2022</w:t>
            </w:r>
          </w:p>
        </w:tc>
      </w:tr>
      <w:tr>
        <w:trPr/>
        <w:tc>
          <w:tcPr>
            <w:tcW w:w="5811" w:type="dxa"/>
            <w:gridSpan w:val="3"/>
            <w:tcBorders/>
            <w:shd w:fill="auto" w:val="clear"/>
          </w:tcPr>
          <w:p>
            <w:pPr>
              <w:pStyle w:val="Normal"/>
              <w:spacing w:lineRule="auto" w:line="240" w:before="0" w:after="0"/>
              <w:rPr>
                <w:rFonts w:ascii="Arial" w:hAnsi="Arial" w:cs="Arial"/>
                <w:b/>
                <w:b/>
              </w:rPr>
            </w:pPr>
            <w:r>
              <w:rPr>
                <w:rFonts w:cs="Arial" w:ascii="Arial" w:hAnsi="Arial"/>
                <w:b/>
              </w:rPr>
              <w:t>Person Specification Updated by</w:t>
            </w:r>
          </w:p>
        </w:tc>
        <w:tc>
          <w:tcPr>
            <w:tcW w:w="4254" w:type="dxa"/>
            <w:gridSpan w:val="2"/>
            <w:tcBorders/>
            <w:shd w:fill="auto" w:val="clear"/>
          </w:tcPr>
          <w:p>
            <w:pPr>
              <w:pStyle w:val="Normal"/>
              <w:spacing w:lineRule="auto" w:line="240" w:before="0" w:after="0"/>
              <w:rPr>
                <w:rFonts w:ascii="Arial" w:hAnsi="Arial" w:cs="Arial"/>
                <w:b/>
                <w:b/>
              </w:rPr>
            </w:pPr>
            <w:r>
              <w:rPr>
                <w:rFonts w:cs="Arial" w:ascii="Arial" w:hAnsi="Arial"/>
                <w:b/>
              </w:rPr>
              <w:t xml:space="preserve">Amanda Symes, Head of Quality Assurance and Improvement </w:t>
            </w:r>
          </w:p>
        </w:tc>
      </w:tr>
    </w:tbl>
    <w:p>
      <w:pPr>
        <w:pStyle w:val="Normal"/>
        <w:spacing w:lineRule="auto" w:line="240" w:before="0" w:after="0"/>
        <w:rPr>
          <w:rFonts w:ascii="Arial" w:hAnsi="Arial" w:cs="Arial"/>
          <w:b/>
          <w:b/>
        </w:rPr>
      </w:pPr>
      <w:r>
        <w:rPr>
          <w:rFonts w:cs="Arial" w:ascii="Arial" w:hAnsi="Arial"/>
          <w:b/>
        </w:rPr>
      </w:r>
    </w:p>
    <w:p>
      <w:pPr>
        <w:pStyle w:val="Normal"/>
        <w:spacing w:lineRule="auto" w:line="256" w:before="0" w:after="160"/>
        <w:rPr>
          <w:rFonts w:ascii="Arial" w:hAnsi="Arial" w:cs="Arial"/>
          <w:b/>
          <w:b/>
        </w:rPr>
      </w:pPr>
      <w:r>
        <w:rPr>
          <w:rFonts w:cs="Arial" w:ascii="Arial" w:hAnsi="Arial"/>
          <w:b/>
        </w:rPr>
      </w:r>
      <w:r>
        <w:br w:type="page"/>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6122035" cy="1628140"/>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6"/>
                    <a:srcRect l="-4" t="-14" r="-4" b="-14"/>
                    <a:stretch>
                      <a:fillRect/>
                    </a:stretch>
                  </pic:blipFill>
                  <pic:spPr bwMode="auto">
                    <a:xfrm>
                      <a:off x="0" y="0"/>
                      <a:ext cx="6122035" cy="1628140"/>
                    </a:xfrm>
                    <a:prstGeom prst="rect">
                      <a:avLst/>
                    </a:prstGeom>
                  </pic:spPr>
                </pic:pic>
              </a:graphicData>
            </a:graphic>
          </wp:inline>
        </w:drawing>
      </w:r>
    </w:p>
    <w:p>
      <w:pPr>
        <w:pStyle w:val="Normal"/>
        <w:rPr/>
      </w:pPr>
      <w:r>
        <w:rPr/>
        <w:drawing>
          <wp:inline distT="0" distB="0" distL="0" distR="0">
            <wp:extent cx="6118225" cy="1684655"/>
            <wp:effectExtent l="0" t="0" r="0" b="0"/>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7"/>
                    <a:srcRect l="-4" t="-13" r="-4" b="-13"/>
                    <a:stretch>
                      <a:fillRect/>
                    </a:stretch>
                  </pic:blipFill>
                  <pic:spPr bwMode="auto">
                    <a:xfrm>
                      <a:off x="0" y="0"/>
                      <a:ext cx="6118225" cy="1684655"/>
                    </a:xfrm>
                    <a:prstGeom prst="rect">
                      <a:avLst/>
                    </a:prstGeom>
                  </pic:spPr>
                </pic:pic>
              </a:graphicData>
            </a:graphic>
          </wp:inline>
        </w:drawing>
      </w:r>
      <w:r>
        <w:rPr/>
        <w:drawing>
          <wp:inline distT="0" distB="0" distL="0" distR="0">
            <wp:extent cx="6117590" cy="1514475"/>
            <wp:effectExtent l="0" t="0" r="0" b="0"/>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8"/>
                    <a:srcRect l="-4" t="-15" r="-4" b="-15"/>
                    <a:stretch>
                      <a:fillRect/>
                    </a:stretch>
                  </pic:blipFill>
                  <pic:spPr bwMode="auto">
                    <a:xfrm>
                      <a:off x="0" y="0"/>
                      <a:ext cx="6117590" cy="1514475"/>
                    </a:xfrm>
                    <a:prstGeom prst="rect">
                      <a:avLst/>
                    </a:prstGeom>
                  </pic:spPr>
                </pic:pic>
              </a:graphicData>
            </a:graphic>
          </wp:inline>
        </w:drawing>
      </w:r>
      <w:r>
        <w:rPr/>
        <w:drawing>
          <wp:inline distT="0" distB="0" distL="0" distR="0">
            <wp:extent cx="6120130" cy="1304290"/>
            <wp:effectExtent l="0" t="0" r="0" b="0"/>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9"/>
                    <a:srcRect l="-4" t="-15" r="-4" b="-15"/>
                    <a:stretch>
                      <a:fillRect/>
                    </a:stretch>
                  </pic:blipFill>
                  <pic:spPr bwMode="auto">
                    <a:xfrm>
                      <a:off x="0" y="0"/>
                      <a:ext cx="6120130" cy="1304290"/>
                    </a:xfrm>
                    <a:prstGeom prst="rect">
                      <a:avLst/>
                    </a:prstGeom>
                  </pic:spPr>
                </pic:pic>
              </a:graphicData>
            </a:graphic>
          </wp:inline>
        </w:drawing>
      </w:r>
    </w:p>
    <w:p>
      <w:pPr>
        <w:pStyle w:val="Normal"/>
        <w:rPr/>
      </w:pPr>
      <w:r>
        <w:rPr/>
        <w:drawing>
          <wp:inline distT="0" distB="0" distL="0" distR="0">
            <wp:extent cx="6120765" cy="1504950"/>
            <wp:effectExtent l="0" t="0" r="0" b="0"/>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10"/>
                    <a:srcRect l="-6" t="-19" r="-6" b="-19"/>
                    <a:stretch>
                      <a:fillRect/>
                    </a:stretch>
                  </pic:blipFill>
                  <pic:spPr bwMode="auto">
                    <a:xfrm>
                      <a:off x="0" y="0"/>
                      <a:ext cx="6120765" cy="1504950"/>
                    </a:xfrm>
                    <a:prstGeom prst="rect">
                      <a:avLst/>
                    </a:prstGeom>
                  </pic:spPr>
                </pic:pic>
              </a:graphicData>
            </a:graphic>
          </wp:inline>
        </w:drawing>
      </w:r>
    </w:p>
    <w:p>
      <w:pPr>
        <w:pStyle w:val="Normal"/>
        <w:widowControl/>
        <w:bidi w:val="0"/>
        <w:spacing w:lineRule="auto" w:line="276" w:before="0" w:after="200"/>
        <w:jc w:val="left"/>
        <w:rPr/>
      </w:pPr>
      <w:r>
        <w:rPr/>
      </w:r>
    </w:p>
    <w:sectPr>
      <w:footerReference w:type="default" r:id="rId11"/>
      <w:type w:val="nextPage"/>
      <w:pgSz w:w="11906" w:h="16838"/>
      <w:pgMar w:left="1134" w:right="1134" w:header="0"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footer" Target="footer1.xml"/><Relationship Id="rId5" Type="http://schemas.openxmlformats.org/officeDocument/2006/relationships/image" Target="media/image3.jpe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