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360" w:after="60"/>
        <w:jc w:val="center"/>
        <w:rPr>
          <w:rFonts w:ascii="Arial" w:hAnsi="Arial" w:cs="Arial"/>
          <w:b/>
          <w:b/>
          <w:bCs/>
          <w:color w:val="153D63"/>
          <w:sz w:val="28"/>
          <w:szCs w:val="28"/>
        </w:rPr>
      </w:pPr>
      <w:r>
        <w:rPr>
          <w:rFonts w:cs="Arial" w:ascii="Arial" w:hAnsi="Arial"/>
          <w:b/>
          <w:bCs/>
          <w:color w:val="153D63"/>
          <w:sz w:val="28"/>
          <w:szCs w:val="28"/>
        </w:rPr>
        <w:t>ASSISTANT DIRECTOR/CONSULTANT IN PUBLIC HEALTH</w:t>
      </w:r>
    </w:p>
    <w:p>
      <w:pPr>
        <w:pStyle w:val="Normal"/>
        <w:rPr>
          <w:rFonts w:ascii="Arial" w:hAnsi="Arial" w:cs="Arial"/>
        </w:rPr>
      </w:pPr>
      <w:r>
        <w:rPr>
          <w:rFonts w:cs="Arial" w:ascii="Arial" w:hAnsi="Arial"/>
        </w:rPr>
      </w:r>
    </w:p>
    <w:p>
      <w:pPr>
        <w:pStyle w:val="Normal"/>
        <w:tabs>
          <w:tab w:val="clear" w:pos="720"/>
          <w:tab w:val="left" w:pos="3402" w:leader="none"/>
        </w:tabs>
        <w:rPr/>
      </w:pPr>
      <w:r>
        <w:rPr>
          <w:rFonts w:cs="Arial" w:ascii="Arial" w:hAnsi="Arial"/>
          <w:b/>
          <w:bCs/>
        </w:rPr>
        <w:t>Employing organisation:</w:t>
      </w:r>
      <w:r>
        <w:rPr>
          <w:rFonts w:cs="Arial" w:ascii="Arial" w:hAnsi="Arial"/>
        </w:rPr>
        <w:tab/>
        <w:t>Bolton Council</w:t>
      </w:r>
    </w:p>
    <w:p>
      <w:pPr>
        <w:pStyle w:val="Normal"/>
        <w:tabs>
          <w:tab w:val="clear" w:pos="720"/>
          <w:tab w:val="left" w:pos="3402" w:leader="none"/>
        </w:tabs>
        <w:rPr/>
      </w:pPr>
      <w:r>
        <w:rPr>
          <w:rFonts w:cs="Arial" w:ascii="Arial" w:hAnsi="Arial"/>
          <w:b/>
          <w:bCs/>
        </w:rPr>
        <w:t>Title:</w:t>
      </w:r>
      <w:r>
        <w:rPr>
          <w:rFonts w:cs="Arial" w:ascii="Arial" w:hAnsi="Arial"/>
        </w:rPr>
        <w:tab/>
        <w:t>Assistant Director/Consultant in Public Health</w:t>
      </w:r>
    </w:p>
    <w:p>
      <w:pPr>
        <w:pStyle w:val="Normal"/>
        <w:tabs>
          <w:tab w:val="clear" w:pos="720"/>
          <w:tab w:val="left" w:pos="3402" w:leader="none"/>
        </w:tabs>
        <w:rPr>
          <w:rFonts w:ascii="Arial" w:hAnsi="Arial" w:cs="Arial"/>
        </w:rPr>
      </w:pPr>
      <w:r>
        <w:rPr>
          <w:rFonts w:cs="Arial" w:ascii="Arial" w:hAnsi="Arial"/>
        </w:rPr>
        <w:tab/>
        <w:t>(Full Time/Part Time/Job Share) 1.0 WTE</w:t>
      </w:r>
    </w:p>
    <w:p>
      <w:pPr>
        <w:pStyle w:val="Normal"/>
        <w:tabs>
          <w:tab w:val="clear" w:pos="720"/>
          <w:tab w:val="left" w:pos="3402" w:leader="none"/>
        </w:tabs>
        <w:rPr/>
      </w:pPr>
      <w:r>
        <w:rPr>
          <w:rFonts w:cs="Arial" w:ascii="Arial" w:hAnsi="Arial"/>
          <w:b/>
          <w:bCs/>
        </w:rPr>
        <w:t>AAC Reference number:</w:t>
        <w:tab/>
      </w:r>
      <w:r>
        <w:rPr>
          <w:rFonts w:cs="Arial" w:ascii="Arial" w:hAnsi="Arial"/>
        </w:rPr>
        <w:t>AAC0002530</w:t>
      </w:r>
      <w:r>
        <w:rPr>
          <w:rFonts w:cs="Arial" w:ascii="Arial" w:hAnsi="Arial"/>
          <w:b/>
          <w:bCs/>
        </w:rPr>
        <w:t xml:space="preserve"> </w:t>
      </w:r>
    </w:p>
    <w:p>
      <w:pPr>
        <w:pStyle w:val="Normal"/>
        <w:tabs>
          <w:tab w:val="clear" w:pos="720"/>
          <w:tab w:val="left" w:pos="3402" w:leader="none"/>
        </w:tabs>
        <w:rPr/>
      </w:pPr>
      <w:r>
        <w:rPr>
          <w:rFonts w:cs="Arial" w:ascii="Arial" w:hAnsi="Arial"/>
          <w:b/>
          <w:bCs/>
        </w:rPr>
        <w:t>Accountable to:</w:t>
      </w:r>
      <w:r>
        <w:rPr>
          <w:rFonts w:cs="Arial" w:ascii="Arial" w:hAnsi="Arial"/>
        </w:rPr>
        <w:tab/>
        <w:t>The post-holder will be dually accountable:</w:t>
      </w:r>
    </w:p>
    <w:p>
      <w:pPr>
        <w:pStyle w:val="ListParagraph"/>
        <w:numPr>
          <w:ilvl w:val="0"/>
          <w:numId w:val="2"/>
        </w:numPr>
        <w:tabs>
          <w:tab w:val="clear" w:pos="720"/>
          <w:tab w:val="left" w:pos="3402" w:leader="none"/>
        </w:tabs>
        <w:ind w:left="3828" w:right="0" w:hanging="360"/>
        <w:rPr>
          <w:rFonts w:ascii="Arial" w:hAnsi="Arial" w:cs="Arial"/>
        </w:rPr>
      </w:pPr>
      <w:r>
        <w:rPr>
          <w:rFonts w:cs="Arial" w:ascii="Arial" w:hAnsi="Arial"/>
        </w:rPr>
        <w:t>professionally to the employing authority Bolton Council</w:t>
      </w:r>
    </w:p>
    <w:p>
      <w:pPr>
        <w:pStyle w:val="ListParagraph"/>
        <w:numPr>
          <w:ilvl w:val="0"/>
          <w:numId w:val="2"/>
        </w:numPr>
        <w:tabs>
          <w:tab w:val="clear" w:pos="720"/>
          <w:tab w:val="left" w:pos="3402" w:leader="none"/>
        </w:tabs>
        <w:ind w:left="3828" w:right="0" w:hanging="360"/>
        <w:rPr>
          <w:rFonts w:ascii="Arial" w:hAnsi="Arial" w:cs="Arial"/>
        </w:rPr>
      </w:pPr>
      <w:r>
        <w:rPr>
          <w:rFonts w:cs="Arial" w:ascii="Arial" w:hAnsi="Arial"/>
        </w:rPr>
        <w:t>managerially to the employing organisation via the line manager, the Director of Public Health (DPH)</w:t>
      </w:r>
    </w:p>
    <w:p>
      <w:pPr>
        <w:pStyle w:val="Normal"/>
        <w:tabs>
          <w:tab w:val="clear" w:pos="720"/>
          <w:tab w:val="left" w:pos="3402" w:leader="none"/>
        </w:tabs>
        <w:ind w:left="3402" w:right="0" w:hanging="3402"/>
        <w:rPr/>
      </w:pPr>
      <w:r>
        <w:rPr>
          <w:rFonts w:cs="Arial" w:ascii="Arial" w:hAnsi="Arial"/>
          <w:b/>
          <w:bCs/>
        </w:rPr>
        <w:t>Grade:</w:t>
      </w:r>
      <w:r>
        <w:rPr>
          <w:rFonts w:cs="Arial" w:ascii="Arial" w:hAnsi="Arial"/>
        </w:rPr>
        <w:tab/>
        <w:t>Chief Officer Band 5 (£82,451 to £95,429)</w:t>
      </w:r>
    </w:p>
    <w:p>
      <w:pPr>
        <w:pStyle w:val="Normal"/>
        <w:tabs>
          <w:tab w:val="clear" w:pos="720"/>
          <w:tab w:val="left" w:pos="3402" w:leader="none"/>
        </w:tabs>
        <w:ind w:left="3402" w:right="0" w:hanging="3402"/>
        <w:rPr/>
      </w:pPr>
      <w:r>
        <w:rPr>
          <w:rFonts w:cs="Arial" w:ascii="Arial" w:hAnsi="Arial"/>
          <w:b/>
          <w:bCs/>
        </w:rPr>
        <w:t>Strategically responsible for:</w:t>
      </w:r>
      <w:r>
        <w:rPr>
          <w:rFonts w:cs="Arial" w:ascii="Arial" w:hAnsi="Arial"/>
        </w:rPr>
        <w:tab/>
        <w:t>The post-holder will provide authoritative public health leadership and specialist expertise across the borough of Bolton, working with a wide range of partners and service areas to protect and improve the health of residents and communities and to reduce inequalities. Their work will span the full breadth of public health practice - health improvement, health protection, healthcare public health and health intelligence - with specific leadership responsibilities for intelligence, healthcare public health and aspects of health protection. The precise lead areas will be agreed with the post</w:t>
      </w:r>
      <w:r>
        <w:rPr>
          <w:rFonts w:cs="Cambria Math" w:ascii="Cambria Math" w:hAnsi="Cambria Math"/>
        </w:rPr>
        <w:noBreakHyphen/>
      </w:r>
      <w:r>
        <w:rPr>
          <w:rFonts w:cs="Arial" w:ascii="Arial" w:hAnsi="Arial"/>
        </w:rPr>
        <w:t xml:space="preserve">holder to reflect organisational priorities and professional strengths. </w:t>
      </w:r>
    </w:p>
    <w:p>
      <w:pPr>
        <w:pStyle w:val="Normal"/>
        <w:tabs>
          <w:tab w:val="clear" w:pos="720"/>
          <w:tab w:val="left" w:pos="3402" w:leader="none"/>
        </w:tabs>
        <w:ind w:left="3402" w:right="0" w:hanging="3402"/>
        <w:rPr>
          <w:rFonts w:ascii="Arial" w:hAnsi="Arial" w:cs="Arial"/>
        </w:rPr>
      </w:pPr>
      <w:r>
        <w:rPr>
          <w:rFonts w:cs="Arial" w:ascii="Arial" w:hAnsi="Arial"/>
        </w:rPr>
        <w:tab/>
        <w:t xml:space="preserve">As an Assistant Director, the post-holder will take an active role in the local authority’s Wider Leadership Team, ensuring the delivery of the directorate plan and contributing to the delivery of the council’s Corporate Plan. </w:t>
      </w:r>
    </w:p>
    <w:p>
      <w:pPr>
        <w:pStyle w:val="Normal"/>
        <w:tabs>
          <w:tab w:val="clear" w:pos="720"/>
          <w:tab w:val="left" w:pos="3402" w:leader="none"/>
        </w:tabs>
        <w:ind w:left="3402" w:right="0" w:hanging="3402"/>
        <w:rPr/>
      </w:pPr>
      <w:r>
        <w:rPr>
          <w:rFonts w:cs="Arial" w:ascii="Arial" w:hAnsi="Arial"/>
          <w:b/>
          <w:bCs/>
        </w:rPr>
        <w:t>Managerially responsibility:</w:t>
      </w:r>
      <w:r>
        <w:rPr/>
        <w:tab/>
      </w:r>
      <w:r>
        <w:rPr>
          <w:rFonts w:cs="Arial" w:ascii="Arial" w:hAnsi="Arial"/>
        </w:rPr>
        <w:t xml:space="preserve">Direct reports: Public Health Strategic Lead and Public Health Intelligence Specialists (x2) </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Appointment</w:t>
      </w:r>
    </w:p>
    <w:p>
      <w:pPr>
        <w:pStyle w:val="Normal"/>
        <w:spacing w:lineRule="auto" w:line="240" w:before="240" w:after="240"/>
        <w:rPr/>
      </w:pPr>
      <w:r>
        <w:rPr>
          <w:rFonts w:cs="Arial" w:ascii="Arial" w:hAnsi="Arial"/>
        </w:rPr>
        <w:t>This is an established post for an Assistant Director/Consultant in Public Health within Bolton Council’s Public Health Directorate, based at Bolton Town Hall. The post-holder is a public health professional treating the population and communities served by Bolton Council. The post</w:t>
      </w:r>
      <w:r>
        <w:rPr>
          <w:rFonts w:cs="Cambria Math" w:ascii="Cambria Math" w:hAnsi="Cambria Math"/>
        </w:rPr>
        <w:noBreakHyphen/>
      </w:r>
      <w:r>
        <w:rPr>
          <w:rFonts w:cs="Arial" w:ascii="Arial" w:hAnsi="Arial"/>
        </w:rPr>
        <w:t>holder reports directly to the Director of Public Health (DPH).</w:t>
      </w:r>
    </w:p>
    <w:p>
      <w:pPr>
        <w:pStyle w:val="Normal"/>
        <w:spacing w:lineRule="auto" w:line="240" w:before="240" w:after="240"/>
        <w:rPr>
          <w:rFonts w:ascii="Arial" w:hAnsi="Arial" w:cs="Arial"/>
        </w:rPr>
      </w:pPr>
      <w:r>
        <w:rPr>
          <w:rFonts w:cs="Arial" w:ascii="Arial" w:hAnsi="Arial"/>
        </w:rPr>
        <w:t xml:space="preserve">The post-holder will provide public health technical and specialist expertise and leadership working across a range of service area and in partnership with stakeholders to protect and improve the health of residents and communities and to reduce health inequalities. </w:t>
      </w:r>
    </w:p>
    <w:p>
      <w:pPr>
        <w:pStyle w:val="Normal"/>
        <w:spacing w:lineRule="auto" w:line="240" w:before="240" w:after="240"/>
        <w:rPr>
          <w:rFonts w:ascii="Arial" w:hAnsi="Arial" w:cs="Arial"/>
        </w:rPr>
      </w:pPr>
      <w:r>
        <w:rPr>
          <w:rFonts w:cs="Arial" w:ascii="Arial" w:hAnsi="Arial"/>
        </w:rPr>
        <w:t>The post-holder will have specific leadership responsibilities for healthcare public health, health and strategic intelligence, and aspects of health protection. The detail of lead areas will be discussed with the post-holder.</w:t>
      </w:r>
    </w:p>
    <w:p>
      <w:pPr>
        <w:pStyle w:val="Normal"/>
        <w:spacing w:lineRule="auto" w:line="240" w:before="240" w:after="240"/>
        <w:rPr>
          <w:rFonts w:ascii="Arial" w:hAnsi="Arial" w:cs="Arial"/>
        </w:rPr>
      </w:pPr>
      <w:r>
        <w:rPr>
          <w:rFonts w:cs="Arial" w:ascii="Arial" w:hAnsi="Arial"/>
        </w:rPr>
        <w:t xml:space="preserve">As an Assistant Director, the post-holder will be a Chief Officer of the Council and take an active role in the local authority’s Wider Leadership Team, ensuring the delivery of the Directorate Plan and contributing to the delivery of the council’s Corporate Plan.   </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Job summary</w:t>
      </w:r>
    </w:p>
    <w:p>
      <w:pPr>
        <w:pStyle w:val="Normal"/>
        <w:spacing w:lineRule="auto" w:line="240" w:before="120" w:after="240"/>
        <w:rPr>
          <w:rFonts w:ascii="Arial" w:hAnsi="Arial" w:cs="Arial"/>
        </w:rPr>
      </w:pPr>
      <w:r>
        <w:rPr>
          <w:rFonts w:cs="Arial" w:ascii="Arial" w:hAnsi="Arial"/>
        </w:rPr>
        <w:t xml:space="preserve">On behalf of the local authority, the post-holder working with the DPH and other consultant colleagues will lead on improving the health and wellbeing of the residents which is underpinned by the statutory duty placed on local government to take such steps as it considers appropriate to improve health of its residents. </w:t>
      </w:r>
    </w:p>
    <w:p>
      <w:pPr>
        <w:pStyle w:val="Normal"/>
        <w:spacing w:lineRule="auto" w:line="240" w:before="120" w:after="240"/>
        <w:rPr>
          <w:rFonts w:ascii="Arial" w:hAnsi="Arial" w:cs="Arial"/>
        </w:rPr>
      </w:pPr>
      <w:r>
        <w:rPr>
          <w:rFonts w:cs="Arial" w:ascii="Arial" w:hAnsi="Arial"/>
        </w:rPr>
        <w:t xml:space="preserve">The post-holder will take responsibility for appropriate strategic objectives of the local authority and act as a change agent to enable delivery of relevant outcome indicators from the public health, NHS and social care outcome frameworks. The post-holder will be expected to work across organisations, be able to influence budgets held by those organisations as well as advocate for change effectively, to improve population and planetary health. </w:t>
      </w:r>
    </w:p>
    <w:p>
      <w:pPr>
        <w:pStyle w:val="Normal"/>
        <w:spacing w:lineRule="auto" w:line="240" w:before="120" w:after="240"/>
        <w:rPr/>
      </w:pPr>
      <w:r>
        <w:rPr>
          <w:rFonts w:cs="Arial" w:ascii="Arial" w:hAnsi="Arial"/>
        </w:rPr>
        <w:t>The post</w:t>
      </w:r>
      <w:r>
        <w:rPr>
          <w:rFonts w:cs="Cambria Math" w:ascii="Cambria Math" w:hAnsi="Cambria Math"/>
        </w:rPr>
        <w:noBreakHyphen/>
      </w:r>
      <w:r>
        <w:rPr>
          <w:rFonts w:cs="Arial" w:ascii="Arial" w:hAnsi="Arial"/>
        </w:rPr>
        <w:t>holder will play a critical senior leadership role in delivering Bolton’s statutory public health duties and advancing the ambitions of Bolton 2040 Vision, a shared, system</w:t>
      </w:r>
      <w:r>
        <w:rPr>
          <w:rFonts w:cs="Cambria Math" w:ascii="Cambria Math" w:hAnsi="Cambria Math"/>
        </w:rPr>
        <w:noBreakHyphen/>
      </w:r>
      <w:r>
        <w:rPr>
          <w:rFonts w:cs="Arial" w:ascii="Arial" w:hAnsi="Arial"/>
        </w:rPr>
        <w:t>wide plan built around six missions designed to transform Bolton into a place where everyone can thrive, with a strong focus on prevention, sustainable growth, investment in people, and improving the places where residents live, learn, work and play.</w:t>
      </w:r>
    </w:p>
    <w:p>
      <w:pPr>
        <w:pStyle w:val="Normal"/>
        <w:spacing w:lineRule="auto" w:line="240" w:before="120" w:after="240"/>
        <w:rPr/>
      </w:pPr>
      <w:r>
        <w:rPr>
          <w:rFonts w:cs="Arial" w:ascii="Arial" w:hAnsi="Arial"/>
        </w:rPr>
        <w:t>Working across organisational boundaries, the post</w:t>
      </w:r>
      <w:r>
        <w:rPr>
          <w:rFonts w:cs="Cambria Math" w:ascii="Cambria Math" w:hAnsi="Cambria Math"/>
        </w:rPr>
        <w:noBreakHyphen/>
      </w:r>
      <w:r>
        <w:rPr>
          <w:rFonts w:cs="Arial" w:ascii="Arial" w:hAnsi="Arial"/>
        </w:rPr>
        <w:t>holder will lead major system</w:t>
      </w:r>
      <w:r>
        <w:rPr>
          <w:rFonts w:cs="Cambria Math" w:ascii="Cambria Math" w:hAnsi="Cambria Math"/>
        </w:rPr>
        <w:noBreakHyphen/>
      </w:r>
      <w:r>
        <w:rPr>
          <w:rFonts w:cs="Arial" w:ascii="Arial" w:hAnsi="Arial"/>
        </w:rPr>
        <w:t>wide programmes and provide authoritative, evidence</w:t>
      </w:r>
      <w:r>
        <w:rPr>
          <w:rFonts w:cs="Cambria Math" w:ascii="Cambria Math" w:hAnsi="Cambria Math"/>
        </w:rPr>
        <w:noBreakHyphen/>
      </w:r>
      <w:r>
        <w:rPr>
          <w:rFonts w:cs="Arial" w:ascii="Arial" w:hAnsi="Arial"/>
        </w:rPr>
        <w:t>based public health advice across the Council, NHS, voluntary sector, and partner organisations</w:t>
      </w:r>
      <w:r>
        <w:rPr>
          <w:rFonts w:cs="Arial" w:ascii="Arial" w:hAnsi="Arial"/>
          <w:color w:val="0070C0"/>
        </w:rPr>
        <w:t>.</w:t>
      </w:r>
    </w:p>
    <w:p>
      <w:pPr>
        <w:pStyle w:val="Normal"/>
        <w:spacing w:lineRule="auto" w:line="240" w:before="120" w:after="240"/>
        <w:rPr/>
      </w:pPr>
      <w:r>
        <w:rPr>
          <w:rFonts w:cs="Arial" w:ascii="Arial" w:hAnsi="Arial"/>
        </w:rPr>
        <w:t>The post requires a highly experienced public health professional with substantial consultant</w:t>
      </w:r>
      <w:r>
        <w:rPr>
          <w:rFonts w:cs="Cambria Math" w:ascii="Cambria Math" w:hAnsi="Cambria Math"/>
        </w:rPr>
        <w:noBreakHyphen/>
      </w:r>
      <w:r>
        <w:rPr>
          <w:rFonts w:cs="Arial" w:ascii="Arial" w:hAnsi="Arial"/>
        </w:rPr>
        <w:t>level expertise, exceptional political awareness, sophisticated communication skills and the confidence to advise, influence, negotiate, challenge and advocate at senior levels including elected members.</w:t>
      </w:r>
    </w:p>
    <w:p>
      <w:pPr>
        <w:pStyle w:val="Normal"/>
        <w:spacing w:lineRule="auto" w:line="240" w:before="120" w:after="240"/>
        <w:rPr/>
      </w:pPr>
      <w:r>
        <w:rPr>
          <w:rFonts w:cs="Arial" w:ascii="Arial" w:hAnsi="Arial"/>
        </w:rPr>
        <w:t>The post</w:t>
      </w:r>
      <w:r>
        <w:rPr>
          <w:rFonts w:cs="Cambria Math" w:ascii="Cambria Math" w:hAnsi="Cambria Math"/>
        </w:rPr>
        <w:noBreakHyphen/>
      </w:r>
      <w:r>
        <w:rPr>
          <w:rFonts w:cs="Arial" w:ascii="Arial" w:hAnsi="Arial"/>
        </w:rPr>
        <w:t>holder will deputise for the DPH as required and will participate in the Council’s strategic officer on</w:t>
      </w:r>
      <w:r>
        <w:rPr>
          <w:rFonts w:cs="Cambria Math" w:ascii="Cambria Math" w:hAnsi="Cambria Math"/>
        </w:rPr>
        <w:noBreakHyphen/>
      </w:r>
      <w:r>
        <w:rPr>
          <w:rFonts w:cs="Arial" w:ascii="Arial" w:hAnsi="Arial"/>
        </w:rPr>
        <w:t>call rota for civil contingencies.</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Strategic objectives:</w:t>
      </w:r>
    </w:p>
    <w:p>
      <w:pPr>
        <w:pStyle w:val="Normal"/>
        <w:spacing w:lineRule="auto" w:line="240" w:before="120" w:after="240"/>
        <w:rPr/>
      </w:pPr>
      <w:r>
        <w:rPr>
          <w:rFonts w:cs="Arial" w:ascii="Arial" w:hAnsi="Arial"/>
        </w:rPr>
        <w:t>To provide authoritative public health leadership and specialist expertise across the borough of Bolton, working with a wide range of partners and service areas to protect and improve the health of residents and communities and to reduce inequalities. The work will span the full breadth of public health practice - health improvement, health protection, healthcare public health and health intelligence - with specific leadership responsibilities for intelligence, healthcare public health and aspects of health protection. The precise lead areas will be agreed with the post</w:t>
      </w:r>
      <w:r>
        <w:rPr>
          <w:rFonts w:cs="Cambria Math" w:ascii="Cambria Math" w:hAnsi="Cambria Math"/>
        </w:rPr>
        <w:noBreakHyphen/>
      </w:r>
      <w:r>
        <w:rPr>
          <w:rFonts w:cs="Arial" w:ascii="Arial" w:hAnsi="Arial"/>
        </w:rPr>
        <w:t>holder to reflect organisational priorities and professional strengths.</w:t>
      </w:r>
    </w:p>
    <w:p>
      <w:pPr>
        <w:pStyle w:val="Normal"/>
        <w:spacing w:lineRule="auto" w:line="240" w:before="120" w:after="240"/>
        <w:rPr/>
      </w:pPr>
      <w:r>
        <w:rPr>
          <w:rFonts w:cs="Arial" w:ascii="Arial" w:hAnsi="Arial"/>
        </w:rPr>
        <w:t>To lead work across all council directorates as well as influencing partnership boards (dealing with health determinants) to maximise health improvement opportunities and the reduction of inequalities in health outcomes amongst residents, both currently and for future generations. This will include using the Outcome Frameworks as well as exploring other relevant routinely collected data systems for suitable indicators.</w:t>
      </w:r>
      <w:r>
        <w:rPr/>
        <w:t xml:space="preserve"> </w:t>
      </w:r>
    </w:p>
    <w:p>
      <w:pPr>
        <w:pStyle w:val="Normal"/>
        <w:spacing w:lineRule="auto" w:line="240" w:before="120" w:after="240"/>
        <w:rPr>
          <w:rFonts w:ascii="Arial" w:hAnsi="Arial" w:cs="Arial"/>
        </w:rPr>
      </w:pPr>
      <w:r>
        <w:rPr>
          <w:rFonts w:cs="Arial" w:ascii="Arial" w:hAnsi="Arial"/>
        </w:rPr>
        <w:t>To lead on improving health and social outcomes for a particular client group, this may include for example early years, children, working adults, older adults, learning disabilities, mental health.</w:t>
      </w:r>
    </w:p>
    <w:p>
      <w:pPr>
        <w:pStyle w:val="Normal"/>
        <w:spacing w:lineRule="auto" w:line="240" w:before="120" w:after="240"/>
        <w:rPr>
          <w:rFonts w:ascii="Arial" w:hAnsi="Arial" w:cs="Arial"/>
        </w:rPr>
      </w:pPr>
      <w:r>
        <w:rPr>
          <w:rFonts w:cs="Arial" w:ascii="Arial" w:hAnsi="Arial"/>
        </w:rPr>
        <w:t>To take strategic responsibility for the delivery and continuous improvement of mandated public health services, ensuring they deliver maximum benefit for Bolton residents. These services include sexual health services, NHS Health Check, specialist public health support to ICSs and this will include taking responsibility for the relevant outcome indicators within the UKHSA, OHID, NHS (and Social Care) Outcome frameworks and working across organisational boundaries.</w:t>
      </w:r>
    </w:p>
    <w:p>
      <w:pPr>
        <w:pStyle w:val="Normal"/>
        <w:spacing w:lineRule="auto" w:line="240" w:before="120" w:after="240"/>
        <w:rPr>
          <w:rFonts w:ascii="Arial" w:hAnsi="Arial" w:cs="Arial"/>
        </w:rPr>
      </w:pPr>
      <w:r>
        <w:rPr>
          <w:rFonts w:cs="Arial" w:ascii="Arial" w:hAnsi="Arial"/>
        </w:rPr>
        <w:t>Act on behalf of the authority and the Director of Public Health to ensure development and maintenance of systems and processes to enable the authority to work with partners to respond to major incidents including health protection threats and lead delegated functions from the Secretary of State and ensure that partner organisations including UKHSA, OHID, NHS Greater Manchester Integrated Care and NHS England maintain appropriate arrangements for surge capacity and coordinated response when required.</w:t>
      </w:r>
    </w:p>
    <w:p>
      <w:pPr>
        <w:pStyle w:val="Normal"/>
        <w:spacing w:lineRule="auto" w:line="240" w:before="120" w:after="240"/>
        <w:rPr/>
      </w:pPr>
      <w:r>
        <w:rPr>
          <w:rFonts w:cs="Arial" w:ascii="Arial" w:hAnsi="Arial"/>
        </w:rPr>
        <w:t>To provide visible public health leadership across all Council directorates and influence partnership boards focused on the wider determinants of health to maximise opportunities for improving health and reducing inequalities for current and future generations. This includes effective use of outcome frameworks and wider routinely collected data to inform priorities and action. The post</w:t>
      </w:r>
      <w:r>
        <w:rPr>
          <w:rFonts w:cs="Cambria Math" w:ascii="Cambria Math" w:hAnsi="Cambria Math"/>
        </w:rPr>
        <w:noBreakHyphen/>
      </w:r>
      <w:r>
        <w:rPr>
          <w:rFonts w:cs="Arial" w:ascii="Arial" w:hAnsi="Arial"/>
        </w:rPr>
        <w:t>holder will also lead programmes to improve health and wellbeing outcomes for specific population groups. Work will span the entire Council, NHS partners, including fulfilling the statutory duty to provide public health advice to the ICS, and wider agencies across the system, as well as engaging with private, voluntary and community sector organisations to shape environments, services and behaviours that support better health.</w:t>
      </w:r>
    </w:p>
    <w:p>
      <w:pPr>
        <w:pStyle w:val="Normal"/>
        <w:spacing w:lineRule="auto" w:line="240" w:before="120" w:after="240"/>
        <w:rPr>
          <w:rFonts w:ascii="Arial" w:hAnsi="Arial" w:cs="Arial"/>
        </w:rPr>
      </w:pPr>
      <w:r>
        <w:rPr>
          <w:rFonts w:cs="Arial" w:ascii="Arial" w:hAnsi="Arial"/>
        </w:rPr>
        <w:t xml:space="preserve">To lead work to ensure the delivery of an effective Joint Strategic Needs Assessment (JSNA) for Bolton providing strategic intelligence and insight to inform the development of key strategies in the borough.  This will include leading the public health intelligence function, facilitating Bolton’s Research and Intelligence Network (BRAIN), and developing and maintain research partnerships including NIHR funded opportunities. </w:t>
      </w:r>
    </w:p>
    <w:p>
      <w:pPr>
        <w:pStyle w:val="Normal"/>
        <w:spacing w:lineRule="auto" w:line="240" w:before="120" w:after="240"/>
        <w:rPr>
          <w:rFonts w:ascii="Arial" w:hAnsi="Arial" w:cs="Arial"/>
        </w:rPr>
      </w:pPr>
      <w:r>
        <w:rPr>
          <w:rFonts w:cs="Arial" w:ascii="Arial" w:hAnsi="Arial"/>
        </w:rPr>
        <w:t xml:space="preserve">In delivering the strategic objectives the post-holder will be expected to demonstrate expertise in the full range of relevant competencies as set out by the Faculty of Public Health. This includes evaluation techniques, policy analysis and translation and ability to communicate effectively with a range of stakeholders including politicians. In addition to any direct responsibility for managing staff or budgets, he/she will be responsible for change and improvement in the agreed areas of work and for supporting the delivery of the statutory duty of the council to take the steps it considers necessary to improve the health of its communities. </w:t>
      </w:r>
    </w:p>
    <w:p>
      <w:pPr>
        <w:pStyle w:val="Normal"/>
        <w:spacing w:lineRule="auto" w:line="240" w:before="120" w:after="240"/>
        <w:rPr>
          <w:rFonts w:ascii="Arial" w:hAnsi="Arial" w:cs="Arial"/>
        </w:rPr>
      </w:pPr>
      <w:r>
        <w:rPr>
          <w:rFonts w:cs="Arial" w:ascii="Arial" w:hAnsi="Arial"/>
        </w:rPr>
        <w:t>To take an active role in the Council’s Wider Leadership Team, contributing to the delivery of the Directorate Plan and supporting achievement of the Council’s Corporate Plan and the wider partnerships Vision 2040. In delivering these strategic responsibilities, they will be expected to demonstrate expertise across the full range of Faculty of Public Health competencies, including evaluation, policy analysis, evidence translation and the ability to communicate confidently and persuasively with a wide range of stakeholders, including elected members. Alongside any direct responsibility for staff or budgets, they will be accountable for driving change and improvement in their areas of work and for supporting the Council in fulfilling its statutory duty to take the steps it considers necessary to improve the health of its communities.</w:t>
      </w:r>
    </w:p>
    <w:p>
      <w:pPr>
        <w:pStyle w:val="Normal"/>
        <w:spacing w:lineRule="auto" w:line="240" w:before="120" w:after="240"/>
        <w:rPr>
          <w:rFonts w:ascii="Arial" w:hAnsi="Arial" w:cs="Arial"/>
          <w:b/>
          <w:b/>
          <w:bCs/>
        </w:rPr>
      </w:pPr>
      <w:r>
        <w:rPr>
          <w:rFonts w:cs="Arial" w:ascii="Arial" w:hAnsi="Arial"/>
          <w:b/>
          <w:bCs/>
        </w:rPr>
        <w:t xml:space="preserve">Professional Status of Consultants </w:t>
      </w:r>
    </w:p>
    <w:p>
      <w:pPr>
        <w:pStyle w:val="Normal"/>
        <w:spacing w:lineRule="auto" w:line="240" w:before="120" w:after="240"/>
        <w:rPr>
          <w:rFonts w:ascii="Arial" w:hAnsi="Arial" w:cs="Arial"/>
        </w:rPr>
      </w:pPr>
      <w:r>
        <w:rPr>
          <w:rFonts w:cs="Arial" w:ascii="Arial" w:hAnsi="Arial"/>
        </w:rPr>
        <w:t>As a qualified public health consultant, the post-holder will work as system leader at strategic or senior management level within the Council and provide senior level of expertise across the public health professional competencies including health improvement, health protection, healthcare public health and health intelligence. The combination of leadership and managerial skills together with high level of technical skills and knowledge gives them a unique skill set essential for improving the health and wellbeing of populations.</w:t>
      </w:r>
    </w:p>
    <w:p>
      <w:pPr>
        <w:pStyle w:val="Normal"/>
        <w:spacing w:lineRule="auto" w:line="240" w:before="120" w:after="240"/>
        <w:rPr>
          <w:rFonts w:ascii="Arial" w:hAnsi="Arial" w:cs="Arial"/>
        </w:rPr>
      </w:pPr>
      <w:r>
        <w:rPr>
          <w:rFonts w:cs="Arial" w:ascii="Arial" w:hAnsi="Arial"/>
        </w:rPr>
        <w:t xml:space="preserve">The post-holder must be qualified as a public health specialist and be on the GMC, GDC or UKPHR specialist register. </w:t>
      </w:r>
    </w:p>
    <w:p>
      <w:pPr>
        <w:pStyle w:val="Normal"/>
        <w:spacing w:lineRule="auto" w:line="240" w:before="120" w:after="240"/>
        <w:rPr>
          <w:rFonts w:ascii="Arial" w:hAnsi="Arial" w:cs="Arial"/>
        </w:rPr>
      </w:pPr>
      <w:r>
        <w:rPr>
          <w:rFonts w:cs="Arial" w:ascii="Arial" w:hAnsi="Arial"/>
        </w:rPr>
        <w:t>Consultants have the same professional status irrespective of local line management arrangements and have experience in various areas of public health practice.</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The employing organisation and other organisations within the scope of the work</w:t>
      </w:r>
    </w:p>
    <w:p>
      <w:pPr>
        <w:pStyle w:val="Normal"/>
        <w:spacing w:lineRule="auto" w:line="240" w:before="120" w:after="240"/>
        <w:rPr/>
      </w:pPr>
      <w:r>
        <w:rPr>
          <w:rFonts w:cs="Arial" w:ascii="Arial" w:hAnsi="Arial"/>
        </w:rPr>
        <w:t>Bolton Council is the metropolitan local authority for the borough of Bolton, leading place</w:t>
      </w:r>
      <w:r>
        <w:rPr>
          <w:rFonts w:cs="Cambria Math" w:ascii="Cambria Math" w:hAnsi="Cambria Math"/>
        </w:rPr>
        <w:noBreakHyphen/>
      </w:r>
      <w:r>
        <w:rPr>
          <w:rFonts w:cs="Arial" w:ascii="Arial" w:hAnsi="Arial"/>
        </w:rPr>
        <w:t xml:space="preserve">based strategy, public services and partnership working across the area. </w:t>
      </w:r>
    </w:p>
    <w:p>
      <w:pPr>
        <w:pStyle w:val="Normal"/>
        <w:spacing w:lineRule="auto" w:line="240" w:before="120" w:after="240"/>
        <w:rPr/>
      </w:pPr>
      <w:r>
        <w:rPr>
          <w:rFonts w:cs="Arial" w:ascii="Arial" w:hAnsi="Arial"/>
        </w:rPr>
        <w:t>Bolton Council serves a growing and diverse borough of around 310,000 residents, with a younger age profile than the national average and significant ethnic diversity, including large Asian Pakistani and Asian Indian communities. The borough experiences marked inequalities, with 45% of residents living in areas among the 20% most deprived nationally, and life expectancy varying by over a decade between neighbourhoods. Health outcomes are generally worse than the England average across a range of measures. Despite these challenges, Bolton has strong community assets and a commitment to reducing inequalities through neighbourhood working and preventive approaches, supported by the borough</w:t>
      </w:r>
      <w:r>
        <w:rPr>
          <w:rFonts w:cs="Cambria Math" w:ascii="Cambria Math" w:hAnsi="Cambria Math"/>
        </w:rPr>
        <w:noBreakHyphen/>
      </w:r>
      <w:r>
        <w:rPr>
          <w:rFonts w:cs="Arial" w:ascii="Arial" w:hAnsi="Arial"/>
        </w:rPr>
        <w:t xml:space="preserve">wide Bolton Prevention Framework, and a Community Coproduction Strategy. </w:t>
      </w:r>
    </w:p>
    <w:p>
      <w:pPr>
        <w:pStyle w:val="Normal"/>
        <w:spacing w:lineRule="auto" w:line="240" w:before="120" w:after="240"/>
        <w:rPr>
          <w:rFonts w:ascii="Arial" w:hAnsi="Arial" w:cs="Arial"/>
        </w:rPr>
      </w:pPr>
      <w:r>
        <w:rPr>
          <w:rFonts w:cs="Arial" w:ascii="Arial" w:hAnsi="Arial"/>
        </w:rPr>
        <w:t>Bolton Council is one of the ten local authorities that make up the Greater Manchester Combined Authority (GMCA), working collectively with the Mayor of Greater Manchester and partner councils to deliver shared priorities across the city</w:t>
        <w:noBreakHyphen/>
        <w:t>region, including those set out in the Greater Manchester Strategy, and collaborating on strategic issues such as transport, regeneration, investment and public service reform</w:t>
      </w:r>
    </w:p>
    <w:p>
      <w:pPr>
        <w:pStyle w:val="Normal"/>
        <w:spacing w:lineRule="auto" w:line="240" w:before="120" w:after="240"/>
        <w:rPr/>
      </w:pPr>
      <w:r>
        <w:rPr>
          <w:rFonts w:cs="Arial" w:ascii="Arial" w:hAnsi="Arial"/>
        </w:rPr>
        <w:t>Within the borough, the Council leads the Bolton Vision Partnership, driving delivery of the borough’s long</w:t>
      </w:r>
      <w:r>
        <w:rPr>
          <w:rFonts w:cs="Cambria Math" w:ascii="Cambria Math" w:hAnsi="Cambria Math"/>
        </w:rPr>
        <w:noBreakHyphen/>
      </w:r>
      <w:r>
        <w:rPr>
          <w:rFonts w:cs="Arial" w:ascii="Arial" w:hAnsi="Arial"/>
        </w:rPr>
        <w:t>term ambitions with partners through the Bolton 2040 Vision, a shared, system</w:t>
      </w:r>
      <w:r>
        <w:rPr>
          <w:rFonts w:cs="Cambria Math" w:ascii="Cambria Math" w:hAnsi="Cambria Math"/>
        </w:rPr>
        <w:noBreakHyphen/>
      </w:r>
      <w:r>
        <w:rPr>
          <w:rFonts w:cs="Arial" w:ascii="Arial" w:hAnsi="Arial"/>
        </w:rPr>
        <w:t>wide plan built around six missions designed to transform Bolton into a place where everyone can thrive, with a strong focus on prevention, sustainable growth, investment in people, and improving the places where residents live, learn, work and play.</w:t>
      </w:r>
    </w:p>
    <w:p>
      <w:pPr>
        <w:pStyle w:val="Normal"/>
        <w:spacing w:lineRule="auto" w:line="240" w:before="120" w:after="240"/>
        <w:rPr>
          <w:rFonts w:ascii="Arial" w:hAnsi="Arial" w:cs="Arial"/>
        </w:rPr>
      </w:pPr>
      <w:r>
        <w:rPr>
          <w:rFonts w:cs="Arial" w:ascii="Arial" w:hAnsi="Arial"/>
        </w:rPr>
        <w:t xml:space="preserve">The Council has recently renewed the Health and Wellbeing Board, and a new Joint Local Health and Wellbeing Strategy (JLHWS) is in production, shaped by Bolton’s Prevention Framework. The post-holder will play a key role in the ongoing development of the Health and Wellbeing Board including the JLHWS and in continuing to embed Bolton’s Prevention Framework throughout the Council and its partners. </w:t>
      </w:r>
    </w:p>
    <w:p>
      <w:pPr>
        <w:pStyle w:val="Normal"/>
        <w:spacing w:lineRule="auto" w:line="240" w:before="120" w:after="240"/>
        <w:rPr/>
      </w:pPr>
      <w:r>
        <w:rPr>
          <w:rFonts w:cs="Arial" w:ascii="Arial" w:hAnsi="Arial"/>
        </w:rPr>
        <w:t>The Public Health Directorate works with colleagues across all Council directorates and with key system partners to improve and protect the health of Bolton’s residents. The post</w:t>
      </w:r>
      <w:r>
        <w:rPr>
          <w:rFonts w:cs="Cambria Math" w:ascii="Cambria Math" w:hAnsi="Cambria Math"/>
        </w:rPr>
        <w:noBreakHyphen/>
      </w:r>
      <w:r>
        <w:rPr>
          <w:rFonts w:cs="Arial" w:ascii="Arial" w:hAnsi="Arial"/>
        </w:rPr>
        <w:t>holder will work closely with local NHS organisations, including NHS Greater Manchester Integrated Care, Bolton NHS Foundation Trust, and primary care partners within the Locality, as well as with the UK Health Security Agency (UKHSA) and the Office for Health Improvement and Disparities (OHID). Collaboration with the voluntary, community and social enterprise (VCSE) sector, education, housing, and wider public services is embraced as essential to delivering population</w:t>
      </w:r>
      <w:r>
        <w:rPr>
          <w:rFonts w:cs="Cambria Math" w:ascii="Cambria Math" w:hAnsi="Cambria Math"/>
        </w:rPr>
        <w:noBreakHyphen/>
      </w:r>
      <w:r>
        <w:rPr>
          <w:rFonts w:cs="Arial" w:ascii="Arial" w:hAnsi="Arial"/>
        </w:rPr>
        <w:t>level improvements and addressing the wider determinants of health.</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Public health arrangements</w:t>
      </w:r>
    </w:p>
    <w:p>
      <w:pPr>
        <w:pStyle w:val="Normal"/>
        <w:spacing w:lineRule="auto" w:line="240" w:before="360" w:after="60"/>
        <w:rPr>
          <w:rFonts w:ascii="Arial" w:hAnsi="Arial" w:cs="Arial"/>
          <w:b/>
          <w:b/>
          <w:bCs/>
          <w:i/>
          <w:i/>
          <w:iCs/>
          <w:color w:val="153D63"/>
        </w:rPr>
      </w:pPr>
      <w:r>
        <w:rPr>
          <w:rFonts w:cs="Arial" w:ascii="Arial" w:hAnsi="Arial"/>
          <w:b/>
          <w:bCs/>
          <w:i/>
          <w:iCs/>
          <w:color w:val="153D63"/>
        </w:rPr>
        <w:t>Current staffing of the Directorate of Public Health:</w:t>
      </w:r>
    </w:p>
    <w:p>
      <w:pPr>
        <w:pStyle w:val="Normal"/>
        <w:spacing w:lineRule="auto" w:line="240" w:before="120" w:after="240"/>
        <w:rPr>
          <w:rFonts w:ascii="Arial" w:hAnsi="Arial" w:cs="Arial"/>
        </w:rPr>
      </w:pPr>
      <w:r>
        <w:rPr>
          <w:rFonts w:cs="Arial" w:ascii="Arial" w:hAnsi="Arial"/>
        </w:rPr>
        <w:t>The Public Health Directorate consists of 33 permanent staff and 7 colleagues on fixed-term contracts. The Directorate Leadership Team comprises the Director of Public Health and four Assistant Directors. The wider workforce includes public health strategic leaders, public health specialists, facilitators and practitioners, as well as analysts, research practitioners, commissioners, a resilience manager, apprentices and administrative officers. The Directorate also hosts public health specialty registrars and GP trainees as part of its contribution to developing the future public health workforce.</w:t>
      </w:r>
    </w:p>
    <w:p>
      <w:pPr>
        <w:pStyle w:val="Normal"/>
        <w:spacing w:lineRule="auto" w:line="240" w:before="120" w:after="240"/>
        <w:rPr>
          <w:rFonts w:ascii="Arial" w:hAnsi="Arial" w:cs="Arial"/>
        </w:rPr>
      </w:pPr>
      <w:r>
        <w:rPr>
          <w:rFonts w:cs="Arial" w:ascii="Arial" w:hAnsi="Arial"/>
        </w:rPr>
        <w:t>The postholder will have management responsibility for the public health research and intelligence function and line management responsibility for a Strategic Lead, Senior Public Health Intelligence Specialist, and Research and Intelligence Specialist.</w:t>
      </w:r>
    </w:p>
    <w:p>
      <w:pPr>
        <w:pStyle w:val="Normal"/>
        <w:spacing w:lineRule="auto" w:line="240" w:before="360" w:after="60"/>
        <w:rPr/>
      </w:pPr>
      <w:r>
        <w:rPr>
          <w:rFonts w:cs="Arial" w:ascii="Arial" w:hAnsi="Arial"/>
        </w:rPr>
        <w:t>The post holder will support the training and development of staff across the Directorate and will provide leadership for the Directorate’s organisational development strategy to enable a skilled, resilient and high</w:t>
      </w:r>
      <w:r>
        <w:rPr>
          <w:rFonts w:cs="Cambria Math" w:ascii="Cambria Math" w:hAnsi="Cambria Math"/>
        </w:rPr>
        <w:noBreakHyphen/>
      </w:r>
      <w:r>
        <w:rPr>
          <w:rFonts w:cs="Arial" w:ascii="Arial" w:hAnsi="Arial"/>
        </w:rPr>
        <w:t>performing workforce.</w:t>
      </w:r>
    </w:p>
    <w:p>
      <w:pPr>
        <w:pStyle w:val="Normal"/>
        <w:spacing w:lineRule="auto" w:line="240" w:before="360" w:after="60"/>
        <w:rPr>
          <w:rFonts w:ascii="Arial" w:hAnsi="Arial" w:cs="Arial"/>
        </w:rPr>
      </w:pPr>
      <w:r>
        <w:rPr>
          <w:rFonts w:cs="Arial" w:ascii="Arial" w:hAnsi="Arial"/>
        </w:rPr>
        <w:t xml:space="preserve">The post holder will be an Educational Supervisor, maintaining appropriate accreditation and adhering to relevant training programme standards. They will provide supervision and support for up to two Public Health Specialty Registrars and other trainees on placement within the Directorate and will be expected to contribute to their training and development. </w:t>
      </w:r>
    </w:p>
    <w:p>
      <w:pPr>
        <w:pStyle w:val="Normal"/>
        <w:spacing w:lineRule="auto" w:line="240" w:before="360" w:after="60"/>
        <w:rPr>
          <w:rFonts w:ascii="Arial" w:hAnsi="Arial" w:cs="Arial"/>
          <w:b/>
          <w:b/>
          <w:bCs/>
          <w:i/>
          <w:i/>
          <w:iCs/>
          <w:color w:val="153D63"/>
        </w:rPr>
      </w:pPr>
      <w:r>
        <w:rPr>
          <w:rFonts w:cs="Arial" w:ascii="Arial" w:hAnsi="Arial"/>
          <w:b/>
          <w:bCs/>
          <w:i/>
          <w:iCs/>
          <w:color w:val="153D63"/>
        </w:rPr>
        <w:t>Resources:</w:t>
      </w:r>
    </w:p>
    <w:p>
      <w:pPr>
        <w:pStyle w:val="Normal"/>
        <w:spacing w:lineRule="auto" w:line="240" w:before="120" w:after="240"/>
        <w:rPr>
          <w:rFonts w:ascii="Arial" w:hAnsi="Arial" w:cs="Arial"/>
        </w:rPr>
      </w:pPr>
      <w:r>
        <w:rPr>
          <w:rFonts w:cs="Arial" w:ascii="Arial" w:hAnsi="Arial"/>
        </w:rPr>
        <w:t>The post-holder working with the DPH will be expected to make best use of both public health department resources as well as influence the resources in the Council as a whole.</w:t>
      </w:r>
    </w:p>
    <w:p>
      <w:pPr>
        <w:pStyle w:val="Normal"/>
        <w:spacing w:lineRule="auto" w:line="240" w:before="360" w:after="60"/>
        <w:rPr>
          <w:rFonts w:ascii="Arial" w:hAnsi="Arial" w:cs="Arial"/>
          <w:b/>
          <w:b/>
          <w:bCs/>
          <w:i/>
          <w:i/>
          <w:iCs/>
          <w:color w:val="153D63"/>
        </w:rPr>
      </w:pPr>
      <w:r>
        <w:rPr>
          <w:rFonts w:cs="Arial" w:ascii="Arial" w:hAnsi="Arial"/>
          <w:b/>
          <w:bCs/>
          <w:i/>
          <w:iCs/>
          <w:color w:val="153D63"/>
        </w:rPr>
        <w:t>Training and CPD arrangements</w:t>
      </w:r>
    </w:p>
    <w:p>
      <w:pPr>
        <w:pStyle w:val="Normal"/>
        <w:spacing w:lineRule="auto" w:line="240" w:before="120" w:after="240"/>
        <w:rPr>
          <w:rFonts w:ascii="Arial" w:hAnsi="Arial" w:cs="Arial"/>
        </w:rPr>
      </w:pPr>
      <w:r>
        <w:rPr>
          <w:rFonts w:cs="Arial" w:ascii="Arial" w:hAnsi="Arial"/>
        </w:rPr>
        <w:t>The post holder will be required to complete all mandatory training set out by the organisation and to undertake continuous professional development, including participating in appropriate CPD activities necessary to maintain professional registration and specialist accreditation.</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Strategic responsibility and key tasks</w:t>
      </w:r>
    </w:p>
    <w:p>
      <w:pPr>
        <w:pStyle w:val="Normal"/>
        <w:spacing w:lineRule="auto" w:line="240" w:before="120" w:after="240"/>
        <w:rPr/>
      </w:pPr>
      <w:r>
        <w:rPr>
          <w:rFonts w:cs="Arial" w:ascii="Arial" w:hAnsi="Arial"/>
        </w:rPr>
        <w:t>The strategic responsibility of the post-holder is to provide authoritative public health leadership and specialist expertise across the borough of Bolton, working with a wide range of partners and service areas to protect and improve the health of residents and communities and to reduce inequalities. Their work will span the full breadth of public health practice - health improvement, health protection, healthcare public health and health intelligence - with specific leadership responsibilities for intelligence, healthcare public health and aspects of health protection. The precise lead areas will be agreed with the post</w:t>
      </w:r>
      <w:r>
        <w:rPr>
          <w:rFonts w:cs="Cambria Math" w:ascii="Cambria Math" w:hAnsi="Cambria Math"/>
        </w:rPr>
        <w:noBreakHyphen/>
      </w:r>
      <w:r>
        <w:rPr>
          <w:rFonts w:cs="Arial" w:ascii="Arial" w:hAnsi="Arial"/>
        </w:rPr>
        <w:t>holder to reflect organisational priorities and professional strengths.</w:t>
      </w:r>
    </w:p>
    <w:p>
      <w:pPr>
        <w:pStyle w:val="Normal"/>
        <w:spacing w:lineRule="auto" w:line="240" w:before="120" w:after="240"/>
        <w:rPr>
          <w:rFonts w:ascii="Arial" w:hAnsi="Arial" w:cs="Arial"/>
        </w:rPr>
      </w:pPr>
      <w:r>
        <w:rPr>
          <w:rFonts w:cs="Arial" w:ascii="Arial" w:hAnsi="Arial"/>
        </w:rPr>
        <w:t>In delivering their responsibilities the post-holder is expected to demonstrate expertise across the full range of relevant competencies as set out by the Faculty of Public Health (Appendix 1) and where required, take responsibility for resolving operational issues. In negotiation with the DPH (and/or the council), the post-holder may be asked to take on responsibilities that are underpinned by any of the FPH competencies. Post-holders will be expected to maintain both the general expertise as well as develop topic-based expertise as required by the DPH and will be expected to deputise for the DPH as and when required.</w:t>
      </w:r>
    </w:p>
    <w:p>
      <w:pPr>
        <w:pStyle w:val="Normal"/>
        <w:spacing w:lineRule="auto" w:line="240" w:before="360" w:after="60"/>
        <w:rPr>
          <w:rFonts w:ascii="Arial" w:hAnsi="Arial" w:cs="Arial"/>
          <w:b/>
          <w:b/>
          <w:bCs/>
          <w:i/>
          <w:i/>
          <w:iCs/>
          <w:color w:val="153D63"/>
        </w:rPr>
      </w:pPr>
      <w:r>
        <w:rPr>
          <w:rFonts w:cs="Arial" w:ascii="Arial" w:hAnsi="Arial"/>
          <w:b/>
          <w:bCs/>
          <w:i/>
          <w:iCs/>
          <w:color w:val="153D63"/>
        </w:rPr>
        <w:t>The range of duties expected of the post-holder:</w:t>
      </w:r>
    </w:p>
    <w:p>
      <w:pPr>
        <w:pStyle w:val="Normal"/>
        <w:spacing w:lineRule="auto" w:line="240" w:before="120" w:after="240"/>
        <w:rPr>
          <w:rFonts w:ascii="Arial" w:hAnsi="Arial" w:cs="Arial"/>
        </w:rPr>
      </w:pPr>
      <w:r>
        <w:rPr>
          <w:rFonts w:cs="Arial" w:ascii="Arial" w:hAnsi="Arial"/>
        </w:rPr>
        <w:t xml:space="preserve">Taking responsibility for a range of public health issues and work across organisational and professional boundaries acting as a change agent managing complexity to deliver improvements in health and wellbeing. </w:t>
      </w:r>
    </w:p>
    <w:p>
      <w:pPr>
        <w:pStyle w:val="Normal"/>
        <w:spacing w:lineRule="auto" w:line="240" w:before="120" w:after="240"/>
        <w:rPr>
          <w:rFonts w:ascii="Arial" w:hAnsi="Arial" w:cs="Arial"/>
        </w:rPr>
      </w:pPr>
      <w:r>
        <w:rPr>
          <w:rFonts w:cs="Arial" w:ascii="Arial" w:hAnsi="Arial"/>
        </w:rPr>
        <w:t xml:space="preserve">Providing briefings on the health and wellbeing needs of local communities to councillors, council officers, ICSs, the third sector, the public and partners. Where required to do so, the post-holder will provide verbal briefing to councillors, other colleagues and stakeholders in person which maybe at short notice. </w:t>
      </w:r>
    </w:p>
    <w:p>
      <w:pPr>
        <w:pStyle w:val="Normal"/>
        <w:spacing w:lineRule="auto" w:line="240" w:before="120" w:after="240"/>
        <w:rPr>
          <w:rFonts w:ascii="Arial" w:hAnsi="Arial" w:cs="Arial"/>
        </w:rPr>
      </w:pPr>
      <w:r>
        <w:rPr>
          <w:rFonts w:cs="Arial" w:ascii="Arial" w:hAnsi="Arial"/>
        </w:rPr>
        <w:t xml:space="preserve">Taking responsibility for development, implementation and delivery of policies. This may include taking the lead in developing detailed inter-agency and interdisciplinary strategic plans and programmes based on needs assessments which may lead to service specifications. The post-holder will be expected to contribute appropriately to the procurement process. </w:t>
      </w:r>
    </w:p>
    <w:p>
      <w:pPr>
        <w:pStyle w:val="Normal"/>
        <w:spacing w:lineRule="auto" w:line="240" w:before="120" w:after="240"/>
        <w:rPr>
          <w:rFonts w:ascii="Arial" w:hAnsi="Arial" w:cs="Arial"/>
        </w:rPr>
      </w:pPr>
      <w:r>
        <w:rPr>
          <w:rFonts w:cs="Arial" w:ascii="Arial" w:hAnsi="Arial"/>
        </w:rPr>
        <w:t>Providing expert public health support and whole system leadership to ensure an evidence-based approach for commissioning and developing high quality equitable services, within and across a range of organisations including voluntary, public and private sector. This includes the health service component of the mandated core service. This will include expertise in evaluation and development of appropriate KPIs.</w:t>
      </w:r>
    </w:p>
    <w:p>
      <w:pPr>
        <w:pStyle w:val="Normal"/>
        <w:spacing w:lineRule="auto" w:line="240" w:before="120" w:after="240"/>
        <w:rPr>
          <w:rFonts w:ascii="Arial" w:hAnsi="Arial" w:cs="Arial"/>
        </w:rPr>
      </w:pPr>
      <w:r>
        <w:rPr>
          <w:rFonts w:cs="Arial" w:ascii="Arial" w:hAnsi="Arial"/>
        </w:rPr>
        <w:t>Utilising and, if appropriate, developing information and intelligence systems to underpin public health action across disciplines and organisations. Providing supervision and leadership for collation and interpretation of relevant data including production of the JSNA, and for Bolton’s Research and Intelligence Network (BRAIN). Working with the DPH, this will include the integration of the appropriate elements of the public health, NHS and social care outcomes frameworks within the systems developed by the local authority as well as with relevant partner organisations.</w:t>
      </w:r>
    </w:p>
    <w:p>
      <w:pPr>
        <w:pStyle w:val="Normal"/>
        <w:spacing w:lineRule="auto" w:line="240" w:before="120" w:after="240"/>
        <w:rPr>
          <w:rFonts w:ascii="Arial" w:hAnsi="Arial" w:cs="Arial"/>
        </w:rPr>
      </w:pPr>
      <w:r>
        <w:rPr>
          <w:rFonts w:cs="Arial" w:ascii="Arial" w:hAnsi="Arial"/>
        </w:rPr>
        <w:t>Supporting the DPH in the development and implementation of robust strategies for improving the health and wellbeing of local communities including ensuring qualitative and/or quantitative measurements are in place to demonstrate improvements. This may include taking responsibility for the judicious use of the ring-fenced public health grant and/or working with ICSs, NHS trusts, the contractor professions and UKHSA.</w:t>
      </w:r>
    </w:p>
    <w:p>
      <w:pPr>
        <w:pStyle w:val="Normal"/>
        <w:spacing w:lineRule="auto" w:line="240" w:before="120" w:after="240"/>
        <w:rPr>
          <w:rFonts w:ascii="Arial" w:hAnsi="Arial" w:cs="Arial"/>
        </w:rPr>
      </w:pPr>
      <w:r>
        <w:rPr>
          <w:rFonts w:cs="Arial" w:ascii="Arial" w:hAnsi="Arial"/>
        </w:rPr>
        <w:t>Providing the key local authority link to the research community, providing advice/support to colleagues and co-ordinating appropriate access to scientific information. The post-holder will be expected to take part in relevant research networks and to influence research programmes of such networks so that the research needs of the local authority are taken into account.</w:t>
      </w:r>
    </w:p>
    <w:p>
      <w:pPr>
        <w:pStyle w:val="Normal"/>
        <w:spacing w:lineRule="auto" w:line="240" w:before="120" w:after="240"/>
        <w:rPr>
          <w:rFonts w:ascii="Arial" w:hAnsi="Arial" w:cs="Arial"/>
        </w:rPr>
      </w:pPr>
      <w:r>
        <w:rPr>
          <w:rFonts w:cs="Arial" w:ascii="Arial" w:hAnsi="Arial"/>
        </w:rPr>
        <w:t xml:space="preserve">Taking responsibility for the training obligations of the directorate, including becoming the Educational Supervisor. These duties will be agreed jointly with the North West’s Head of the School of Public Health and the Training Programme Director for Greater Manchester. </w:t>
      </w:r>
    </w:p>
    <w:p>
      <w:pPr>
        <w:pStyle w:val="Normal"/>
        <w:spacing w:lineRule="auto" w:line="240" w:before="360" w:after="60"/>
        <w:rPr>
          <w:rFonts w:ascii="Arial" w:hAnsi="Arial" w:cs="Arial"/>
          <w:b/>
          <w:b/>
          <w:bCs/>
          <w:i/>
          <w:i/>
          <w:iCs/>
          <w:color w:val="153D63"/>
        </w:rPr>
      </w:pPr>
      <w:r>
        <w:rPr>
          <w:rFonts w:cs="Arial" w:ascii="Arial" w:hAnsi="Arial"/>
          <w:b/>
          <w:bCs/>
          <w:i/>
          <w:iCs/>
          <w:color w:val="153D63"/>
        </w:rPr>
        <w:t>Underpinning much of these duties are public health tasks such as:</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Undertaking health needs assessments as required to enable actions to be taken to improve the health of the local population.</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Developing prioritisation techniques and managing their application to policies, services and to help resolve issues such as the investment-disinvestment debate.</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Effective communication of complex concepts, science and data and their implications for local communities, to a range of stakeholders with very different backgrounds.</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Understanding of evaluation frameworks and applying those frameworks to the benefit of local communities.</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A capacity to apply the scientific body of knowledge on public health to the polices and services necessary to improve health, both currently and for future generations, and to formulate clear practical evidence-based recommendations.</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The understanding of human and organisational behaviour and the application of this knowledge to the achievement of change.</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Inspire commitment to public health outcomes and to prevention as a core feature of public sector reform.</w:t>
      </w:r>
    </w:p>
    <w:p>
      <w:pPr>
        <w:pStyle w:val="ListParagraph"/>
        <w:spacing w:lineRule="auto" w:line="240" w:before="120" w:after="240"/>
        <w:ind w:left="567" w:right="0" w:hanging="0"/>
        <w:contextualSpacing/>
        <w:rPr>
          <w:rFonts w:ascii="Arial" w:hAnsi="Arial" w:cs="Arial"/>
        </w:rPr>
      </w:pPr>
      <w:r>
        <w:rPr>
          <w:rFonts w:cs="Arial" w:ascii="Arial" w:hAnsi="Arial"/>
        </w:rPr>
      </w:r>
    </w:p>
    <w:p>
      <w:pPr>
        <w:pStyle w:val="ListParagraph"/>
        <w:spacing w:lineRule="auto" w:line="240" w:before="120" w:after="240"/>
        <w:ind w:left="567" w:right="0" w:hanging="0"/>
        <w:contextualSpacing/>
        <w:rPr>
          <w:rFonts w:ascii="Arial" w:hAnsi="Arial" w:cs="Arial"/>
        </w:rPr>
      </w:pPr>
      <w:r>
        <w:rPr>
          <w:rFonts w:cs="Arial" w:ascii="Arial" w:hAnsi="Arial"/>
        </w:rPr>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 xml:space="preserve">Management arrangements and responsibilities </w:t>
      </w:r>
    </w:p>
    <w:p>
      <w:pPr>
        <w:pStyle w:val="ListParagraph"/>
        <w:spacing w:lineRule="auto" w:line="240" w:before="360" w:after="60"/>
        <w:ind w:left="567" w:right="0" w:hanging="0"/>
        <w:contextualSpacing/>
        <w:rPr>
          <w:rFonts w:ascii="Arial" w:hAnsi="Arial" w:cs="Arial"/>
        </w:rPr>
      </w:pPr>
      <w:r>
        <w:rPr>
          <w:rFonts w:cs="Arial" w:ascii="Arial" w:hAnsi="Arial"/>
        </w:rPr>
        <w:t>The post-holder will be professionally accountable to the employing authority and managerially accountable to the employing authority via their line manager, usually the Director of Public Health or equivalent. Professional appraisal will be required. An initial job plan will be agreed with the successful candidate prior to that individual taking up the post based on the draft job plan attached. This job plan will be reviewed as part of the annual job planning process.</w:t>
      </w:r>
    </w:p>
    <w:p>
      <w:pPr>
        <w:pStyle w:val="Normal"/>
        <w:rPr>
          <w:rFonts w:ascii="Arial" w:hAnsi="Arial" w:cs="Arial"/>
        </w:rPr>
      </w:pPr>
      <w:r>
        <w:rPr>
          <w:rFonts w:cs="Arial" w:ascii="Arial" w:hAnsi="Arial"/>
        </w:rPr>
        <w:t>The post-holder:</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will have management responsibility for the public health research and intelligence function.</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 xml:space="preserve">will include line management responsibility for a Strategic Lead, Senior Public Health Intelligence Specialist, and Research and Intelligence Specialist. </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 xml:space="preserve">Management responsibilities will include line management duties, recruitment, appraisals, absence management, disciplinary and grievance responsibilities in line with Bolton Council’s HR policies and procedures. </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 xml:space="preserve">will be an Educational Supervisor, maintaining appropriate accreditation and adhering to relevant training programme standards. They will provide supervision and support for up to two Public Health Specialty Registrars and other trainees on placement within the Directorate and will be expected to contribute to their training and development. </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will support management of the Public Health Directorates budget alongside Public Health Directorate Leadership colleagues and be an authorised signatory in line with the Council’s Scheme of Delegation.</w:t>
      </w:r>
    </w:p>
    <w:p>
      <w:pPr>
        <w:pStyle w:val="ListParagraph"/>
        <w:numPr>
          <w:ilvl w:val="0"/>
          <w:numId w:val="3"/>
        </w:numPr>
        <w:spacing w:lineRule="auto" w:line="240" w:before="120" w:after="240"/>
        <w:ind w:left="567" w:right="0" w:hanging="283"/>
        <w:contextualSpacing/>
        <w:rPr>
          <w:rFonts w:ascii="Arial" w:hAnsi="Arial" w:cs="Arial"/>
        </w:rPr>
      </w:pPr>
      <w:r>
        <w:rPr>
          <w:rFonts w:cs="Arial" w:ascii="Arial" w:hAnsi="Arial"/>
        </w:rPr>
        <w:t>will be expected to take part in on call arrangements for the Council’s strategic officer on-call rotate for civil contingencies.</w:t>
      </w:r>
    </w:p>
    <w:p>
      <w:pPr>
        <w:pStyle w:val="ListParagraph"/>
        <w:numPr>
          <w:ilvl w:val="0"/>
          <w:numId w:val="3"/>
        </w:numPr>
        <w:spacing w:lineRule="auto" w:line="240" w:before="120" w:after="240"/>
        <w:ind w:left="568" w:right="0" w:hanging="284"/>
        <w:contextualSpacing/>
        <w:rPr>
          <w:rFonts w:ascii="Arial" w:hAnsi="Arial" w:cs="Arial"/>
        </w:rPr>
      </w:pPr>
      <w:r>
        <w:rPr>
          <w:rFonts w:cs="Arial" w:ascii="Arial" w:hAnsi="Arial"/>
        </w:rPr>
        <w:t>will be expected to deputise for the Director of Public Health, and the Assistant Director/Consultant in Public Health who leads on health protection, as required.</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Professional obligations</w:t>
      </w:r>
    </w:p>
    <w:p>
      <w:pPr>
        <w:pStyle w:val="Normal"/>
        <w:rPr>
          <w:rFonts w:ascii="Arial" w:hAnsi="Arial" w:cs="Arial"/>
        </w:rPr>
      </w:pPr>
      <w:r>
        <w:rPr>
          <w:rFonts w:cs="Arial" w:ascii="Arial" w:hAnsi="Arial"/>
        </w:rPr>
        <w:t>These include:</w:t>
      </w:r>
    </w:p>
    <w:p>
      <w:pPr>
        <w:pStyle w:val="Normal"/>
        <w:spacing w:lineRule="auto" w:line="240" w:before="120" w:after="240"/>
        <w:rPr>
          <w:rFonts w:ascii="Arial" w:hAnsi="Arial" w:cs="Arial"/>
        </w:rPr>
      </w:pPr>
      <w:r>
        <w:rPr>
          <w:rFonts w:cs="Arial" w:ascii="Arial" w:hAnsi="Arial"/>
        </w:rPr>
        <w:t>Participate in the organisation’s staff appraisal scheme and quality improvement programme and ensure appraisal and development of any staff for which the post-holder is responsible.</w:t>
      </w:r>
    </w:p>
    <w:p>
      <w:pPr>
        <w:pStyle w:val="Normal"/>
        <w:spacing w:lineRule="auto" w:line="240" w:before="120" w:after="240"/>
        <w:rPr>
          <w:rFonts w:ascii="Arial" w:hAnsi="Arial" w:cs="Arial"/>
        </w:rPr>
      </w:pPr>
      <w:r>
        <w:rPr>
          <w:rFonts w:cs="Arial" w:ascii="Arial" w:hAnsi="Arial"/>
        </w:rPr>
        <w:t>Contribute actively to the training programme for Foundation Year and GP Doctors / Specialty Registrars in Public Health and LAs management trainees as appropriate, and to the training of practitioners and primary care professionals within the locality, in agreement with the DPH, through acting as an Educational Supervisor.</w:t>
      </w:r>
    </w:p>
    <w:p>
      <w:pPr>
        <w:pStyle w:val="Normal"/>
        <w:spacing w:lineRule="auto" w:line="240" w:before="120" w:after="240"/>
        <w:rPr>
          <w:rFonts w:ascii="Arial" w:hAnsi="Arial" w:cs="Arial"/>
        </w:rPr>
      </w:pPr>
      <w:r>
        <w:rPr>
          <w:rFonts w:cs="Arial" w:ascii="Arial" w:hAnsi="Arial"/>
        </w:rPr>
        <w:t>Undertake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other specialist register as appropriate. In agreement with the DPH, contribute to the wider the public health professional system by becoming an appraiser or practitioner appraiser for a specified period of time.</w:t>
      </w:r>
    </w:p>
    <w:p>
      <w:pPr>
        <w:pStyle w:val="Normal"/>
        <w:spacing w:lineRule="auto" w:line="240" w:before="120" w:after="240"/>
        <w:rPr/>
      </w:pPr>
      <w:r>
        <w:rPr>
          <w:rFonts w:cs="Arial" w:ascii="Arial" w:hAnsi="Arial"/>
        </w:rPr>
        <w:t>In agreement with the DPH, seek to contribute to the wider system for example through becoming and appraiser or taking up a role with the faculty such as examiner, assessor, CPD or Faculty Adviser</w:t>
      </w:r>
      <w:r>
        <w:rPr>
          <w:rFonts w:cs="Arial" w:ascii="Arial" w:hAnsi="Arial"/>
          <w:strike/>
        </w:rPr>
        <w:t xml:space="preserve">.  </w:t>
      </w:r>
    </w:p>
    <w:p>
      <w:pPr>
        <w:pStyle w:val="Normal"/>
        <w:spacing w:lineRule="auto" w:line="240" w:before="120" w:after="240"/>
        <w:rPr>
          <w:rFonts w:ascii="Arial" w:hAnsi="Arial" w:cs="Arial"/>
        </w:rPr>
      </w:pPr>
      <w:r>
        <w:rPr>
          <w:rFonts w:cs="Arial" w:ascii="Arial" w:hAnsi="Arial"/>
        </w:rPr>
        <w:t xml:space="preserve">In agreement with the DPH, seek to contribute to the wider Greater Manchester Public Health Network, e.g. contributing to GM PHN workstreams or priorities. </w:t>
      </w:r>
    </w:p>
    <w:p>
      <w:pPr>
        <w:pStyle w:val="Normal"/>
        <w:spacing w:lineRule="auto" w:line="240" w:before="120" w:after="240"/>
        <w:rPr>
          <w:rFonts w:ascii="Arial" w:hAnsi="Arial" w:cs="Arial"/>
        </w:rPr>
      </w:pPr>
      <w:r>
        <w:rPr>
          <w:rFonts w:cs="Arial" w:ascii="Arial" w:hAnsi="Arial"/>
        </w:rPr>
        <w:t>Practise in accordance with all relevant sections of the General Medical Council’s Good Medical Practice (if medically qualified) and the Faculty of Public Health’s Good Public Health Practice and UKPHR requirements.</w:t>
      </w:r>
    </w:p>
    <w:p>
      <w:pPr>
        <w:pStyle w:val="Normal"/>
        <w:spacing w:lineRule="auto" w:line="240" w:before="120" w:after="240"/>
        <w:rPr>
          <w:rFonts w:ascii="Arial" w:hAnsi="Arial" w:cs="Arial"/>
        </w:rPr>
      </w:pPr>
      <w:r>
        <w:rPr>
          <w:rFonts w:cs="Arial" w:ascii="Arial" w:hAnsi="Arial"/>
        </w:rPr>
        <w:t>Contribute to medical professional leadership within the health system.</w:t>
      </w:r>
    </w:p>
    <w:p>
      <w:pPr>
        <w:pStyle w:val="Normal"/>
        <w:spacing w:lineRule="auto" w:line="240" w:before="120" w:after="240"/>
        <w:rPr>
          <w:rFonts w:ascii="Arial" w:hAnsi="Arial" w:cs="Arial"/>
        </w:rPr>
      </w:pPr>
      <w:r>
        <w:rPr>
          <w:rFonts w:cs="Arial" w:ascii="Arial" w:hAnsi="Arial"/>
        </w:rPr>
        <w:t>It is a duty of a health professional to foster scientific integrity, freedom of scientific publications, and freedom of debate on health matters, and public health professionals have a further responsibility to promote good governance and open government.</w:t>
      </w:r>
    </w:p>
    <w:p>
      <w:pPr>
        <w:pStyle w:val="Normal"/>
        <w:spacing w:lineRule="auto" w:line="240" w:before="120" w:after="240"/>
        <w:rPr>
          <w:rFonts w:ascii="Arial" w:hAnsi="Arial" w:cs="Arial"/>
        </w:rPr>
      </w:pPr>
      <w:r>
        <w:rPr>
          <w:rFonts w:cs="Arial" w:ascii="Arial" w:hAnsi="Arial"/>
        </w:rPr>
        <w:t>Public health practice must be carried out within the ethical framework of the health professions.</w:t>
      </w:r>
    </w:p>
    <w:p>
      <w:pPr>
        <w:pStyle w:val="Normal"/>
        <w:spacing w:lineRule="auto" w:line="240" w:before="120" w:after="240"/>
        <w:rPr>
          <w:rFonts w:ascii="Arial" w:hAnsi="Arial" w:cs="Arial"/>
        </w:rPr>
      </w:pPr>
      <w:r>
        <w:rPr>
          <w:rFonts w:cs="Arial" w:ascii="Arial" w:hAnsi="Arial"/>
        </w:rPr>
        <w:t>The post-holder will be expected to maintain effective, courageous, and responsible public health advocacy.</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 xml:space="preserve">Work programme </w:t>
      </w:r>
    </w:p>
    <w:p>
      <w:pPr>
        <w:pStyle w:val="Normal"/>
        <w:rPr>
          <w:rFonts w:ascii="Arial" w:hAnsi="Arial" w:cs="Arial"/>
        </w:rPr>
      </w:pPr>
      <w:r>
        <w:rPr>
          <w:rFonts w:cs="Arial" w:ascii="Arial" w:hAnsi="Arial"/>
        </w:rPr>
        <w:t>It is envisaged that the post holder will work 10 programmed activities over 5 days. Half a day or one session is considered one programmed activity / 1 PA. Following appointment there will be a meeting at no later than three months with the line manager to review and revise the job plan and objectives of the post holder. The overall split of the programmed activities is 7.5 to be devoted to public health duties and 2.5 to supporting professional activities (as per the Academy of Medical Royal Colleges recommendation). Supporting professional activity (SPA) is CPD, appraisal, revalidation, teaching, training, quality improvement including clinical governance, Faculty work, etc. The timetable is indicative only. A formal job plan will be agreed between the post holder and the line manager three months after commencing the post and at least annually thereafter.</w:t>
      </w:r>
    </w:p>
    <w:p>
      <w:pPr>
        <w:pStyle w:val="Normal"/>
        <w:rPr/>
      </w:pPr>
      <w:r>
        <w:rPr>
          <w:rFonts w:cs="Arial" w:ascii="Arial" w:hAnsi="Arial"/>
        </w:rPr>
        <w:t xml:space="preserve">The post-holder may also have external professional responsibilities, e.g. in respect of training or work for the Faculty of Public Health. </w:t>
      </w:r>
      <w:bookmarkStart w:id="0" w:name="_Hlk200531147"/>
      <w:r>
        <w:rPr>
          <w:rFonts w:cs="Arial" w:ascii="Arial" w:hAnsi="Arial"/>
        </w:rPr>
        <w:t>Time allocation for these additional responsibilities will need to be agreed with the DPH.</w:t>
      </w:r>
      <w:bookmarkEnd w:id="0"/>
      <w:r>
        <w:rPr>
          <w:rFonts w:cs="Arial" w:ascii="Arial" w:hAnsi="Arial"/>
        </w:rPr>
        <w:t xml:space="preserve"> An indicative plan is below:</w:t>
      </w:r>
    </w:p>
    <w:tbl>
      <w:tblPr>
        <w:tblW w:w="9663" w:type="dxa"/>
        <w:jc w:val="left"/>
        <w:tblInd w:w="-10" w:type="dxa"/>
        <w:tblCellMar>
          <w:top w:w="0" w:type="dxa"/>
          <w:left w:w="28" w:type="dxa"/>
          <w:bottom w:w="0" w:type="dxa"/>
          <w:right w:w="5" w:type="dxa"/>
        </w:tblCellMar>
      </w:tblPr>
      <w:tblGrid>
        <w:gridCol w:w="1276"/>
        <w:gridCol w:w="566"/>
        <w:gridCol w:w="852"/>
        <w:gridCol w:w="5102"/>
        <w:gridCol w:w="993"/>
        <w:gridCol w:w="874"/>
      </w:tblGrid>
      <w:tr>
        <w:trPr>
          <w:trHeight w:val="357" w:hRule="atLeast"/>
        </w:trPr>
        <w:tc>
          <w:tcPr>
            <w:tcW w:w="1276" w:type="dxa"/>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ind w:left="0" w:right="103" w:hanging="0"/>
              <w:jc w:val="center"/>
              <w:rPr>
                <w:rFonts w:ascii="Arial" w:hAnsi="Arial" w:cs="Arial"/>
                <w:b/>
                <w:b/>
                <w:bCs/>
                <w:sz w:val="18"/>
                <w:szCs w:val="18"/>
                <w:lang w:val="en-US"/>
              </w:rPr>
            </w:pPr>
            <w:r>
              <w:rPr>
                <w:rFonts w:cs="Arial" w:ascii="Arial" w:hAnsi="Arial"/>
                <w:b/>
                <w:bCs/>
                <w:sz w:val="18"/>
                <w:szCs w:val="18"/>
                <w:lang w:val="en-US"/>
              </w:rPr>
              <w:t>Time</w:t>
            </w:r>
          </w:p>
        </w:tc>
        <w:tc>
          <w:tcPr>
            <w:tcW w:w="852" w:type="dxa"/>
            <w:tcBorders>
              <w:top w:val="single" w:sz="4" w:space="0" w:color="000000"/>
              <w:left w:val="single" w:sz="4" w:space="0" w:color="000000"/>
              <w:bottom w:val="single" w:sz="4" w:space="0" w:color="000000"/>
            </w:tcBorders>
            <w:shd w:fill="auto" w:val="clear"/>
            <w:vAlign w:val="center"/>
          </w:tcPr>
          <w:p>
            <w:pPr>
              <w:pStyle w:val="TableParagraph"/>
              <w:ind w:left="54" w:right="0" w:hanging="0"/>
              <w:rPr>
                <w:rFonts w:ascii="Arial" w:hAnsi="Arial" w:cs="Arial"/>
                <w:b/>
                <w:b/>
                <w:bCs/>
                <w:sz w:val="18"/>
                <w:szCs w:val="18"/>
                <w:lang w:val="en-US"/>
              </w:rPr>
            </w:pPr>
            <w:r>
              <w:rPr>
                <w:rFonts w:cs="Arial" w:ascii="Arial" w:hAnsi="Arial"/>
                <w:b/>
                <w:bCs/>
                <w:sz w:val="18"/>
                <w:szCs w:val="18"/>
                <w:lang w:val="en-US"/>
              </w:rPr>
              <w:t>Location</w:t>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Work</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b/>
                <w:b/>
                <w:bCs/>
                <w:sz w:val="18"/>
                <w:szCs w:val="18"/>
                <w:lang w:val="en-US"/>
              </w:rPr>
            </w:pPr>
            <w:r>
              <w:rPr>
                <w:rFonts w:cs="Arial" w:ascii="Arial" w:hAnsi="Arial"/>
                <w:b/>
                <w:bCs/>
                <w:sz w:val="18"/>
                <w:szCs w:val="18"/>
                <w:lang w:val="en-US"/>
              </w:rPr>
              <w:t>Category</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ind w:left="86" w:right="135" w:hanging="0"/>
              <w:rPr>
                <w:rFonts w:ascii="Arial" w:hAnsi="Arial" w:cs="Arial"/>
                <w:b/>
                <w:b/>
                <w:bCs/>
                <w:sz w:val="18"/>
                <w:szCs w:val="18"/>
                <w:lang w:val="en-US"/>
              </w:rPr>
            </w:pPr>
            <w:r>
              <w:rPr>
                <w:rFonts w:cs="Arial" w:ascii="Arial" w:hAnsi="Arial"/>
                <w:b/>
                <w:bCs/>
                <w:sz w:val="18"/>
                <w:szCs w:val="18"/>
                <w:lang w:val="en-US"/>
              </w:rPr>
              <w:t>No. of PAs</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Monday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65" w:hanging="0"/>
              <w:jc w:val="center"/>
              <w:rPr>
                <w:rFonts w:ascii="Arial" w:hAnsi="Arial" w:cs="Arial"/>
                <w:sz w:val="18"/>
                <w:szCs w:val="18"/>
                <w:lang w:val="en-US"/>
              </w:rPr>
            </w:pPr>
            <w:r>
              <w:rPr>
                <w:rFonts w:cs="Arial" w:ascii="Arial" w:hAnsi="Arial"/>
                <w:sz w:val="18"/>
                <w:szCs w:val="18"/>
                <w:lang w:val="en-US"/>
              </w:rPr>
              <w:t>AM</w:t>
            </w:r>
          </w:p>
        </w:tc>
        <w:tc>
          <w:tcPr>
            <w:tcW w:w="852" w:type="dxa"/>
            <w:vMerge w:val="restart"/>
            <w:tcBorders>
              <w:top w:val="single" w:sz="4" w:space="0" w:color="000000"/>
              <w:left w:val="single" w:sz="4" w:space="0" w:color="000000"/>
              <w:bottom w:val="single" w:sz="4" w:space="0" w:color="000000"/>
            </w:tcBorders>
            <w:shd w:fill="auto" w:val="clear"/>
            <w:textDirection w:val="btLr"/>
            <w:vAlign w:val="center"/>
          </w:tcPr>
          <w:p>
            <w:pPr>
              <w:pStyle w:val="TableParagraph"/>
              <w:ind w:left="113" w:right="113" w:hanging="0"/>
              <w:jc w:val="center"/>
              <w:rPr>
                <w:rFonts w:ascii="Arial" w:hAnsi="Arial" w:cs="Arial"/>
                <w:sz w:val="18"/>
                <w:szCs w:val="18"/>
                <w:lang w:val="en-US"/>
              </w:rPr>
            </w:pPr>
            <w:r>
              <w:rPr>
                <w:rFonts w:cs="Arial" w:ascii="Arial" w:hAnsi="Arial"/>
                <w:sz w:val="18"/>
                <w:szCs w:val="18"/>
                <w:lang w:val="en-US"/>
              </w:rPr>
              <w:t>Bolton Town Hall</w:t>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Member briefings</w:t>
            </w:r>
          </w:p>
          <w:p>
            <w:pPr>
              <w:pStyle w:val="TableParagraph"/>
              <w:rPr>
                <w:rFonts w:ascii="Arial" w:hAnsi="Arial" w:cs="Arial"/>
                <w:sz w:val="18"/>
                <w:szCs w:val="18"/>
                <w:lang w:val="en-US"/>
              </w:rPr>
            </w:pPr>
            <w:r>
              <w:rPr>
                <w:rFonts w:cs="Arial" w:ascii="Arial" w:hAnsi="Arial"/>
                <w:sz w:val="18"/>
                <w:szCs w:val="18"/>
                <w:lang w:val="en-US"/>
              </w:rPr>
              <w:t>Public health leadership and healthcare public health activities</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2" w:right="0" w:hanging="0"/>
              <w:rPr>
                <w:rFonts w:ascii="Arial" w:hAnsi="Arial" w:cs="Arial"/>
                <w:sz w:val="18"/>
                <w:szCs w:val="18"/>
                <w:lang w:val="en-US"/>
              </w:rPr>
            </w:pPr>
            <w:r>
              <w:rPr>
                <w:rFonts w:cs="Arial" w:ascii="Arial" w:hAnsi="Arial"/>
                <w:sz w:val="18"/>
                <w:szCs w:val="18"/>
                <w:lang w:val="en-US"/>
              </w:rPr>
              <w:t>PHD</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70" w:hanging="0"/>
              <w:jc w:val="center"/>
              <w:rPr>
                <w:rFonts w:ascii="Arial" w:hAnsi="Arial" w:cs="Arial"/>
                <w:sz w:val="18"/>
                <w:szCs w:val="18"/>
                <w:lang w:val="en-US"/>
              </w:rPr>
            </w:pPr>
            <w:r>
              <w:rPr>
                <w:rFonts w:cs="Arial" w:ascii="Arial" w:hAnsi="Arial"/>
                <w:sz w:val="18"/>
                <w:szCs w:val="18"/>
                <w:lang w:val="en-US"/>
              </w:rPr>
              <w:t>PM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Teaching and supervision</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1" w:right="0" w:hanging="0"/>
              <w:rPr>
                <w:rFonts w:ascii="Arial" w:hAnsi="Arial" w:cs="Arial"/>
                <w:sz w:val="18"/>
                <w:szCs w:val="18"/>
                <w:lang w:val="en-US"/>
              </w:rPr>
            </w:pPr>
            <w:r>
              <w:rPr>
                <w:rFonts w:cs="Arial" w:ascii="Arial" w:hAnsi="Arial"/>
                <w:sz w:val="18"/>
                <w:szCs w:val="18"/>
                <w:lang w:val="en-US"/>
              </w:rPr>
              <w:t>SPA</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Tuesday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65" w:hanging="0"/>
              <w:jc w:val="center"/>
              <w:rPr>
                <w:rFonts w:ascii="Arial" w:hAnsi="Arial" w:cs="Arial"/>
                <w:sz w:val="18"/>
                <w:szCs w:val="18"/>
                <w:lang w:val="en-US"/>
              </w:rPr>
            </w:pPr>
            <w:r>
              <w:rPr>
                <w:rFonts w:cs="Arial" w:ascii="Arial" w:hAnsi="Arial"/>
                <w:sz w:val="18"/>
                <w:szCs w:val="18"/>
                <w:lang w:val="en-US"/>
              </w:rPr>
              <w:t>AM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CPD and Quality improvement</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2" w:right="0" w:hanging="0"/>
              <w:rPr>
                <w:rFonts w:ascii="Arial" w:hAnsi="Arial" w:cs="Arial"/>
                <w:sz w:val="18"/>
                <w:szCs w:val="18"/>
                <w:lang w:val="en-US"/>
              </w:rPr>
            </w:pPr>
            <w:r>
              <w:rPr>
                <w:rFonts w:cs="Arial" w:ascii="Arial" w:hAnsi="Arial"/>
                <w:sz w:val="18"/>
                <w:szCs w:val="18"/>
                <w:lang w:val="en-US"/>
              </w:rPr>
              <w:t>SPA</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70" w:hanging="0"/>
              <w:jc w:val="center"/>
              <w:rPr>
                <w:rFonts w:ascii="Arial" w:hAnsi="Arial" w:cs="Arial"/>
                <w:sz w:val="18"/>
                <w:szCs w:val="18"/>
                <w:lang w:val="en-US"/>
              </w:rPr>
            </w:pPr>
            <w:r>
              <w:rPr>
                <w:rFonts w:cs="Arial" w:ascii="Arial" w:hAnsi="Arial"/>
                <w:sz w:val="18"/>
                <w:szCs w:val="18"/>
                <w:lang w:val="en-US"/>
              </w:rPr>
              <w:t>PM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Management, supervision and leadership of public health intelligence and research team</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1" w:right="0" w:hanging="0"/>
              <w:rPr>
                <w:rFonts w:ascii="Arial" w:hAnsi="Arial" w:cs="Arial"/>
                <w:sz w:val="18"/>
                <w:szCs w:val="18"/>
                <w:lang w:val="en-US"/>
              </w:rPr>
            </w:pPr>
            <w:r>
              <w:rPr>
                <w:rFonts w:cs="Arial" w:ascii="Arial" w:hAnsi="Arial"/>
                <w:sz w:val="18"/>
                <w:szCs w:val="18"/>
                <w:lang w:val="en-US"/>
              </w:rPr>
              <w:t>PHD</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Wednesday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65" w:hanging="0"/>
              <w:jc w:val="center"/>
              <w:rPr>
                <w:rFonts w:ascii="Arial" w:hAnsi="Arial" w:cs="Arial"/>
                <w:sz w:val="18"/>
                <w:szCs w:val="18"/>
                <w:lang w:val="en-US"/>
              </w:rPr>
            </w:pPr>
            <w:r>
              <w:rPr>
                <w:rFonts w:cs="Arial" w:ascii="Arial" w:hAnsi="Arial"/>
                <w:sz w:val="18"/>
                <w:szCs w:val="18"/>
                <w:lang w:val="en-US"/>
              </w:rPr>
              <w:t>AM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Directorate Leadership Team</w:t>
            </w:r>
          </w:p>
          <w:p>
            <w:pPr>
              <w:pStyle w:val="TableParagraph"/>
              <w:rPr>
                <w:rFonts w:ascii="Arial" w:hAnsi="Arial" w:cs="Arial"/>
                <w:sz w:val="18"/>
                <w:szCs w:val="18"/>
                <w:lang w:val="en-US"/>
              </w:rPr>
            </w:pPr>
            <w:r>
              <w:rPr>
                <w:rFonts w:cs="Arial" w:ascii="Arial" w:hAnsi="Arial"/>
                <w:sz w:val="18"/>
                <w:szCs w:val="18"/>
                <w:lang w:val="en-US"/>
              </w:rPr>
              <w:t>Budget management, OD</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2" w:right="0" w:hanging="0"/>
              <w:rPr>
                <w:rFonts w:ascii="Arial" w:hAnsi="Arial" w:cs="Arial"/>
                <w:sz w:val="18"/>
                <w:szCs w:val="18"/>
                <w:lang w:val="en-US"/>
              </w:rPr>
            </w:pPr>
            <w:r>
              <w:rPr>
                <w:rFonts w:cs="Arial" w:ascii="Arial" w:hAnsi="Arial"/>
                <w:sz w:val="18"/>
                <w:szCs w:val="18"/>
                <w:lang w:val="en-US"/>
              </w:rPr>
              <w:t>PHD</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70" w:hanging="0"/>
              <w:jc w:val="center"/>
              <w:rPr>
                <w:rFonts w:ascii="Arial" w:hAnsi="Arial" w:cs="Arial"/>
                <w:sz w:val="18"/>
                <w:szCs w:val="18"/>
                <w:lang w:val="en-US"/>
              </w:rPr>
            </w:pPr>
            <w:r>
              <w:rPr>
                <w:rFonts w:cs="Arial" w:ascii="Arial" w:hAnsi="Arial"/>
                <w:sz w:val="18"/>
                <w:szCs w:val="18"/>
                <w:lang w:val="en-US"/>
              </w:rPr>
              <w:t>PM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CPD, appraisal and supervision</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1" w:right="0" w:hanging="0"/>
              <w:rPr>
                <w:rFonts w:ascii="Arial" w:hAnsi="Arial" w:cs="Arial"/>
                <w:sz w:val="18"/>
                <w:szCs w:val="18"/>
                <w:lang w:val="en-US"/>
              </w:rPr>
            </w:pPr>
            <w:r>
              <w:rPr>
                <w:rFonts w:cs="Arial" w:ascii="Arial" w:hAnsi="Arial"/>
                <w:sz w:val="18"/>
                <w:szCs w:val="18"/>
                <w:lang w:val="en-US"/>
              </w:rPr>
              <w:t>SPA</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Thursday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0" w:right="165" w:hanging="0"/>
              <w:jc w:val="center"/>
              <w:rPr>
                <w:rFonts w:ascii="Arial" w:hAnsi="Arial" w:cs="Arial"/>
                <w:sz w:val="18"/>
                <w:szCs w:val="18"/>
                <w:lang w:val="en-US"/>
              </w:rPr>
            </w:pPr>
            <w:r>
              <w:rPr>
                <w:rFonts w:cs="Arial" w:ascii="Arial" w:hAnsi="Arial"/>
                <w:sz w:val="18"/>
                <w:szCs w:val="18"/>
                <w:lang w:val="en-US"/>
              </w:rPr>
              <w:t>AM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Quality improvement and supervision</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7" w:after="0"/>
              <w:ind w:left="132" w:right="0" w:hanging="0"/>
              <w:rPr>
                <w:rFonts w:ascii="Arial" w:hAnsi="Arial" w:cs="Arial"/>
                <w:sz w:val="18"/>
                <w:szCs w:val="18"/>
                <w:lang w:val="en-US"/>
              </w:rPr>
            </w:pPr>
            <w:r>
              <w:rPr>
                <w:rFonts w:cs="Arial" w:ascii="Arial" w:hAnsi="Arial"/>
                <w:sz w:val="18"/>
                <w:szCs w:val="18"/>
                <w:lang w:val="en-US"/>
              </w:rPr>
              <w:t>SPA</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0" w:right="170" w:hanging="0"/>
              <w:jc w:val="center"/>
              <w:rPr>
                <w:rFonts w:ascii="Arial" w:hAnsi="Arial" w:cs="Arial"/>
                <w:sz w:val="18"/>
                <w:szCs w:val="18"/>
                <w:lang w:val="en-US"/>
              </w:rPr>
            </w:pPr>
            <w:r>
              <w:rPr>
                <w:rFonts w:cs="Arial" w:ascii="Arial" w:hAnsi="Arial"/>
                <w:sz w:val="18"/>
                <w:szCs w:val="18"/>
                <w:lang w:val="en-US"/>
              </w:rPr>
              <w:t>PM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Informal senior leadership team</w:t>
            </w:r>
          </w:p>
          <w:p>
            <w:pPr>
              <w:pStyle w:val="TableParagraph"/>
              <w:rPr>
                <w:rFonts w:ascii="Arial" w:hAnsi="Arial" w:cs="Arial"/>
                <w:sz w:val="18"/>
                <w:szCs w:val="18"/>
                <w:lang w:val="en-US"/>
              </w:rPr>
            </w:pPr>
            <w:r>
              <w:rPr>
                <w:rFonts w:cs="Arial" w:ascii="Arial" w:hAnsi="Arial"/>
                <w:sz w:val="18"/>
                <w:szCs w:val="18"/>
                <w:lang w:val="en-US"/>
              </w:rPr>
              <w:t>Healthcare public health work</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131" w:right="0" w:hanging="0"/>
              <w:rPr>
                <w:rFonts w:ascii="Arial" w:hAnsi="Arial" w:cs="Arial"/>
                <w:sz w:val="18"/>
                <w:szCs w:val="18"/>
                <w:lang w:val="en-US"/>
              </w:rPr>
            </w:pPr>
            <w:r>
              <w:rPr>
                <w:rFonts w:cs="Arial" w:ascii="Arial" w:hAnsi="Arial"/>
                <w:sz w:val="18"/>
                <w:szCs w:val="18"/>
                <w:lang w:val="en-US"/>
              </w:rPr>
              <w:t>PHD</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Friday</w:t>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0" w:right="165" w:hanging="0"/>
              <w:jc w:val="center"/>
              <w:rPr>
                <w:rFonts w:ascii="Arial" w:hAnsi="Arial" w:cs="Arial"/>
                <w:sz w:val="18"/>
                <w:szCs w:val="18"/>
                <w:lang w:val="en-US"/>
              </w:rPr>
            </w:pPr>
            <w:r>
              <w:rPr>
                <w:rFonts w:cs="Arial" w:ascii="Arial" w:hAnsi="Arial"/>
                <w:sz w:val="18"/>
                <w:szCs w:val="18"/>
                <w:lang w:val="en-US"/>
              </w:rPr>
              <w:t>AM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Teaching and supervision</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132" w:right="0" w:hanging="0"/>
              <w:rPr>
                <w:rFonts w:ascii="Arial" w:hAnsi="Arial" w:cs="Arial"/>
                <w:sz w:val="18"/>
                <w:szCs w:val="18"/>
                <w:lang w:val="en-US"/>
              </w:rPr>
            </w:pPr>
            <w:r>
              <w:rPr>
                <w:rFonts w:cs="Arial" w:ascii="Arial" w:hAnsi="Arial"/>
                <w:sz w:val="18"/>
                <w:szCs w:val="18"/>
                <w:lang w:val="en-US"/>
              </w:rPr>
              <w:t>SPA</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566"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0" w:right="170" w:hanging="0"/>
              <w:jc w:val="center"/>
              <w:rPr>
                <w:rFonts w:ascii="Arial" w:hAnsi="Arial" w:cs="Arial"/>
                <w:sz w:val="18"/>
                <w:szCs w:val="18"/>
                <w:lang w:val="en-US"/>
              </w:rPr>
            </w:pPr>
            <w:r>
              <w:rPr>
                <w:rFonts w:cs="Arial" w:ascii="Arial" w:hAnsi="Arial"/>
                <w:sz w:val="18"/>
                <w:szCs w:val="18"/>
                <w:lang w:val="en-US"/>
              </w:rPr>
              <w:t>PM</w:t>
            </w:r>
          </w:p>
        </w:tc>
        <w:tc>
          <w:tcPr>
            <w:tcW w:w="852" w:type="dxa"/>
            <w:vMerge w:val="continue"/>
            <w:tcBorders>
              <w:top w:val="single" w:sz="4" w:space="0" w:color="000000"/>
              <w:left w:val="single" w:sz="4" w:space="0" w:color="000000"/>
              <w:bottom w:val="single" w:sz="4" w:space="0" w:color="000000"/>
            </w:tcBorders>
            <w:shd w:fill="auto" w:val="clear"/>
            <w:textDirection w:val="btLr"/>
            <w:vAlign w:val="center"/>
          </w:tcPr>
          <w:p>
            <w:pPr>
              <w:pStyle w:val="TableParagraph"/>
              <w:snapToGrid w:val="false"/>
              <w:rPr>
                <w:rFonts w:ascii="Arial" w:hAnsi="Arial" w:cs="Arial"/>
                <w:sz w:val="18"/>
                <w:szCs w:val="18"/>
                <w:lang w:val="en-US"/>
              </w:rPr>
            </w:pPr>
            <w:r>
              <w:rPr>
                <w:rFonts w:cs="Arial" w:ascii="Arial" w:hAnsi="Arial"/>
                <w:sz w:val="18"/>
                <w:szCs w:val="18"/>
                <w:lang w:val="en-US"/>
              </w:rPr>
            </w:r>
          </w:p>
        </w:tc>
        <w:tc>
          <w:tcPr>
            <w:tcW w:w="5102" w:type="dxa"/>
            <w:tcBorders>
              <w:top w:val="single" w:sz="4" w:space="0" w:color="000000"/>
              <w:left w:val="single" w:sz="4" w:space="0" w:color="000000"/>
              <w:bottom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Health protection work</w:t>
            </w:r>
          </w:p>
        </w:tc>
        <w:tc>
          <w:tcPr>
            <w:tcW w:w="993" w:type="dxa"/>
            <w:tcBorders>
              <w:top w:val="single" w:sz="4" w:space="0" w:color="000000"/>
              <w:left w:val="single" w:sz="4" w:space="0" w:color="000000"/>
              <w:bottom w:val="single" w:sz="4" w:space="0" w:color="000000"/>
            </w:tcBorders>
            <w:shd w:fill="auto" w:val="clear"/>
            <w:vAlign w:val="center"/>
          </w:tcPr>
          <w:p>
            <w:pPr>
              <w:pStyle w:val="TableParagraph"/>
              <w:spacing w:before="85" w:after="0"/>
              <w:ind w:left="131" w:right="0" w:hanging="0"/>
              <w:rPr>
                <w:rFonts w:ascii="Arial" w:hAnsi="Arial" w:cs="Arial"/>
                <w:sz w:val="18"/>
                <w:szCs w:val="18"/>
                <w:lang w:val="en-US"/>
              </w:rPr>
            </w:pPr>
            <w:r>
              <w:rPr>
                <w:rFonts w:cs="Arial" w:ascii="Arial" w:hAnsi="Arial"/>
                <w:sz w:val="18"/>
                <w:szCs w:val="18"/>
                <w:lang w:val="en-US"/>
              </w:rPr>
              <w:t>PHD</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jc w:val="center"/>
              <w:rPr>
                <w:rFonts w:ascii="Arial" w:hAnsi="Arial" w:cs="Arial"/>
                <w:sz w:val="18"/>
                <w:szCs w:val="18"/>
                <w:lang w:val="en-US"/>
              </w:rPr>
            </w:pPr>
            <w:r>
              <w:rPr>
                <w:rFonts w:cs="Arial" w:ascii="Arial" w:hAnsi="Arial"/>
                <w:sz w:val="18"/>
                <w:szCs w:val="18"/>
                <w:lang w:val="en-US"/>
              </w:rPr>
              <w:t>0.5</w:t>
            </w:r>
          </w:p>
        </w:tc>
      </w:tr>
      <w:tr>
        <w:trPr>
          <w:trHeight w:val="415" w:hRule="atLeast"/>
        </w:trPr>
        <w:tc>
          <w:tcPr>
            <w:tcW w:w="1276" w:type="dxa"/>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On- call work</w:t>
            </w:r>
          </w:p>
        </w:tc>
        <w:tc>
          <w:tcPr>
            <w:tcW w:w="838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rPr>
                <w:rFonts w:ascii="Arial" w:hAnsi="Arial" w:cs="Arial"/>
                <w:sz w:val="18"/>
                <w:szCs w:val="18"/>
                <w:lang w:val="en-US"/>
              </w:rPr>
            </w:pPr>
            <w:r>
              <w:rPr>
                <w:rFonts w:cs="Arial" w:ascii="Arial" w:hAnsi="Arial"/>
                <w:sz w:val="18"/>
                <w:szCs w:val="18"/>
                <w:lang w:val="en-US"/>
              </w:rPr>
              <w:t>As per civil contingencies rota</w:t>
            </w:r>
          </w:p>
        </w:tc>
      </w:tr>
      <w:tr>
        <w:trPr>
          <w:trHeight w:val="357" w:hRule="atLeast"/>
        </w:trPr>
        <w:tc>
          <w:tcPr>
            <w:tcW w:w="1276" w:type="dxa"/>
            <w:vMerge w:val="restart"/>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b/>
                <w:b/>
                <w:bCs/>
                <w:sz w:val="18"/>
                <w:szCs w:val="18"/>
                <w:lang w:val="en-US"/>
              </w:rPr>
            </w:pPr>
            <w:r>
              <w:rPr>
                <w:rFonts w:cs="Arial" w:ascii="Arial" w:hAnsi="Arial"/>
                <w:b/>
                <w:bCs/>
                <w:sz w:val="18"/>
                <w:szCs w:val="18"/>
                <w:lang w:val="en-US"/>
              </w:rPr>
              <w:t>Total PAs</w:t>
            </w:r>
          </w:p>
        </w:tc>
        <w:tc>
          <w:tcPr>
            <w:tcW w:w="7513" w:type="dxa"/>
            <w:gridSpan w:val="4"/>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sz w:val="18"/>
                <w:szCs w:val="18"/>
                <w:lang w:val="en-US"/>
              </w:rPr>
            </w:pPr>
            <w:r>
              <w:rPr>
                <w:rFonts w:cs="Arial" w:ascii="Arial" w:hAnsi="Arial"/>
                <w:sz w:val="18"/>
                <w:szCs w:val="18"/>
                <w:lang w:val="en-US"/>
              </w:rPr>
              <w:t>Public health duties</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ind w:left="86" w:right="135" w:hanging="0"/>
              <w:jc w:val="center"/>
              <w:rPr>
                <w:rFonts w:ascii="Arial" w:hAnsi="Arial" w:cs="Arial"/>
                <w:sz w:val="18"/>
                <w:szCs w:val="18"/>
                <w:lang w:val="en-US"/>
              </w:rPr>
            </w:pPr>
            <w:r>
              <w:rPr>
                <w:rFonts w:cs="Arial" w:ascii="Arial" w:hAnsi="Arial"/>
                <w:sz w:val="18"/>
                <w:szCs w:val="18"/>
                <w:lang w:val="en-US"/>
              </w:rPr>
              <w:t>7.5</w:t>
            </w:r>
          </w:p>
        </w:tc>
      </w:tr>
      <w:tr>
        <w:trPr>
          <w:trHeight w:val="357" w:hRule="atLeast"/>
        </w:trPr>
        <w:tc>
          <w:tcPr>
            <w:tcW w:w="127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rPr>
                <w:rFonts w:ascii="Arial" w:hAnsi="Arial" w:cs="Arial"/>
                <w:b/>
                <w:b/>
                <w:bCs/>
                <w:sz w:val="18"/>
                <w:szCs w:val="18"/>
              </w:rPr>
            </w:pPr>
            <w:r>
              <w:rPr>
                <w:rFonts w:cs="Arial" w:ascii="Arial" w:hAnsi="Arial"/>
                <w:b/>
                <w:bCs/>
                <w:sz w:val="18"/>
                <w:szCs w:val="18"/>
              </w:rPr>
            </w:r>
          </w:p>
        </w:tc>
        <w:tc>
          <w:tcPr>
            <w:tcW w:w="7513" w:type="dxa"/>
            <w:gridSpan w:val="4"/>
            <w:tcBorders>
              <w:top w:val="single" w:sz="4" w:space="0" w:color="000000"/>
              <w:left w:val="single" w:sz="4" w:space="0" w:color="000000"/>
              <w:bottom w:val="single" w:sz="4" w:space="0" w:color="000000"/>
            </w:tcBorders>
            <w:shd w:fill="auto" w:val="clear"/>
            <w:vAlign w:val="center"/>
          </w:tcPr>
          <w:p>
            <w:pPr>
              <w:pStyle w:val="TableParagraph"/>
              <w:ind w:left="57" w:right="0" w:hanging="0"/>
              <w:rPr>
                <w:rFonts w:ascii="Arial" w:hAnsi="Arial" w:cs="Arial"/>
                <w:sz w:val="18"/>
                <w:szCs w:val="18"/>
                <w:lang w:val="en-US"/>
              </w:rPr>
            </w:pPr>
            <w:r>
              <w:rPr>
                <w:rFonts w:cs="Arial" w:ascii="Arial" w:hAnsi="Arial"/>
                <w:sz w:val="18"/>
                <w:szCs w:val="18"/>
                <w:lang w:val="en-US"/>
              </w:rPr>
              <w:t>Supporting professional activities</w:t>
            </w:r>
          </w:p>
        </w:tc>
        <w:tc>
          <w:tcPr>
            <w:tcW w:w="874"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ind w:left="86" w:right="135" w:hanging="0"/>
              <w:jc w:val="center"/>
              <w:rPr>
                <w:rFonts w:ascii="Arial" w:hAnsi="Arial" w:cs="Arial"/>
                <w:sz w:val="18"/>
                <w:szCs w:val="18"/>
                <w:lang w:val="en-US"/>
              </w:rPr>
            </w:pPr>
            <w:r>
              <w:rPr>
                <w:rFonts w:cs="Arial" w:ascii="Arial" w:hAnsi="Arial"/>
                <w:sz w:val="18"/>
                <w:szCs w:val="18"/>
                <w:lang w:val="en-US"/>
              </w:rPr>
              <w:t>2.5</w:t>
            </w:r>
          </w:p>
        </w:tc>
      </w:tr>
    </w:tbl>
    <w:p>
      <w:pPr>
        <w:pStyle w:val="Normal"/>
        <w:rPr>
          <w:rFonts w:ascii="Arial" w:hAnsi="Arial" w:cs="Arial"/>
        </w:rPr>
      </w:pPr>
      <w:r>
        <w:rPr>
          <w:rFonts w:cs="Arial" w:ascii="Arial" w:hAnsi="Arial"/>
        </w:rPr>
      </w:r>
      <w:r>
        <w:br w:type="page"/>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On-call and cover arrangements</w:t>
      </w:r>
    </w:p>
    <w:p>
      <w:pPr>
        <w:pStyle w:val="Normal"/>
        <w:rPr/>
      </w:pPr>
      <w:r>
        <w:rPr>
          <w:rFonts w:cs="Arial" w:ascii="Arial" w:hAnsi="Arial"/>
        </w:rPr>
        <w:t>The post-holder will assume on call commitments as part of the Council’s strategic rota for civil contingencies. This will be 2-4 week-long periods each year, plus day-long cover over the Christmas and New year periods including</w:t>
      </w:r>
      <w:r>
        <w:rPr>
          <w:rFonts w:eastAsia="Arial" w:cs="Arial" w:ascii="Arial" w:hAnsi="Arial"/>
        </w:rPr>
        <w:t xml:space="preserve"> a commitment to attend training and exercises as appropriate.</w:t>
      </w:r>
    </w:p>
    <w:p>
      <w:pPr>
        <w:pStyle w:val="Normal"/>
        <w:rPr>
          <w:rFonts w:ascii="Arial" w:hAnsi="Arial" w:cs="Arial"/>
        </w:rPr>
      </w:pPr>
      <w:r>
        <w:rPr>
          <w:rFonts w:cs="Arial" w:ascii="Arial" w:hAnsi="Arial"/>
        </w:rPr>
        <w:t xml:space="preserve">The postholder will be expected to agree leave with Public Health Directorate colleagues to ensure public health DLT cover during working days throughout the year. </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Wellbeing</w:t>
      </w:r>
    </w:p>
    <w:p>
      <w:pPr>
        <w:pStyle w:val="Normal"/>
        <w:spacing w:lineRule="auto" w:line="240" w:before="0" w:after="0"/>
        <w:rPr>
          <w:rFonts w:ascii="Arial" w:hAnsi="Arial" w:cs="Arial"/>
        </w:rPr>
      </w:pPr>
      <w:r>
        <w:rPr>
          <w:rFonts w:cs="Arial" w:ascii="Arial" w:hAnsi="Arial"/>
        </w:rPr>
      </w:r>
    </w:p>
    <w:p>
      <w:pPr>
        <w:pStyle w:val="Normal"/>
        <w:rPr>
          <w:rFonts w:ascii="Arial" w:hAnsi="Arial" w:eastAsia="游ゴシック" w:cs="Arial"/>
        </w:rPr>
      </w:pPr>
      <w:r>
        <w:rPr>
          <w:rFonts w:eastAsia="游ゴシック" w:cs="Arial" w:ascii="Arial" w:hAnsi="Arial"/>
        </w:rPr>
        <w:t xml:space="preserve">Bolton Council offer a generous annual leave allowance, flexible work opportunities, and access to Greater Manchester Pension Scheme as well as a range of employee wellbeing and support services. This includes access to free confidential advice and information service offered by our Employment Assistance Programme, and the opportunity to access a range of exclusive rewards and benefits, including discounts and exclusive gym membership prices and salary sacrifice schemes all available through the Vivup platform. </w:t>
      </w:r>
    </w:p>
    <w:p>
      <w:pPr>
        <w:pStyle w:val="ListParagraph"/>
        <w:numPr>
          <w:ilvl w:val="0"/>
          <w:numId w:val="4"/>
        </w:numPr>
        <w:spacing w:lineRule="auto" w:line="240" w:before="360" w:after="60"/>
        <w:ind w:left="567" w:right="0" w:hanging="567"/>
        <w:contextualSpacing/>
        <w:rPr>
          <w:rFonts w:ascii="Arial" w:hAnsi="Arial" w:cs="Arial"/>
          <w:b/>
          <w:b/>
          <w:bCs/>
          <w:color w:val="153D63"/>
          <w:sz w:val="28"/>
          <w:szCs w:val="28"/>
        </w:rPr>
      </w:pPr>
      <w:r>
        <w:rPr>
          <w:rFonts w:cs="Arial" w:ascii="Arial" w:hAnsi="Arial"/>
          <w:b/>
          <w:bCs/>
          <w:color w:val="153D63"/>
          <w:sz w:val="28"/>
          <w:szCs w:val="28"/>
        </w:rPr>
        <w:t>Personal qualities</w:t>
      </w:r>
    </w:p>
    <w:p>
      <w:pPr>
        <w:pStyle w:val="Normal"/>
        <w:spacing w:lineRule="auto" w:line="240" w:before="120" w:after="240"/>
        <w:rPr/>
      </w:pPr>
      <w:r>
        <w:rPr>
          <w:rFonts w:cs="Arial" w:ascii="Arial" w:hAnsi="Arial"/>
        </w:rPr>
        <w:t>The strategic responsibility of the post-holder is to provide authoritative public health leadership and specialist expertise across the borough of Bolton, working with a wide range of partners and service areas to protect and improve the health of residents and communities and to reduce inequalities. Their work will span the full breadth of public health practice - health improvement, health protection, healthcare public health and health intelligence - with specific leadership responsibilities for intelligence, healthcare public health and aspects of health protection. The precise lead areas will be agreed with the post</w:t>
      </w:r>
      <w:r>
        <w:rPr>
          <w:rFonts w:cs="Cambria Math" w:ascii="Cambria Math" w:hAnsi="Cambria Math"/>
        </w:rPr>
        <w:noBreakHyphen/>
      </w:r>
      <w:r>
        <w:rPr>
          <w:rFonts w:cs="Arial" w:ascii="Arial" w:hAnsi="Arial"/>
        </w:rPr>
        <w:t>holder to reflect organisational priorities and professional strengths.</w:t>
      </w:r>
    </w:p>
    <w:p>
      <w:pPr>
        <w:pStyle w:val="Normal"/>
        <w:rPr>
          <w:rFonts w:ascii="Arial" w:hAnsi="Arial" w:cs="Arial"/>
        </w:rPr>
      </w:pPr>
      <w:r>
        <w:rPr>
          <w:rFonts w:cs="Arial" w:ascii="Arial" w:hAnsi="Arial"/>
        </w:rPr>
        <w:t>The post-holder will deal with complex public health and wellbeing challenges in a multi-organisational environment with widely differing governance and finance system and organizational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advise the health and wellbeing board and make recommendations regarding services, residents’ care and wider determinants of health and therefore a high level of tact, diplomacy and leadership is required including the ability work within the local political system and at the same time maintain the ability to challenge and advocate for effective working and on specific issues in order to achieve public health outcomes. The achievement of public health outcomes and the successful pursuit of change are the purpose of the job and the metric against which performance will be assessed.</w:t>
      </w:r>
    </w:p>
    <w:p>
      <w:pPr>
        <w:pStyle w:val="Normal"/>
        <w:rPr>
          <w:rFonts w:ascii="Arial" w:hAnsi="Arial" w:cs="Arial"/>
        </w:rPr>
      </w:pPr>
      <w:r>
        <w:rPr>
          <w:rFonts w:cs="Arial" w:ascii="Arial" w:hAnsi="Arial"/>
        </w:rPr>
      </w:r>
      <w:r>
        <w:br w:type="page"/>
      </w:r>
    </w:p>
    <w:p>
      <w:pPr>
        <w:pStyle w:val="Normal"/>
        <w:jc w:val="center"/>
        <w:rPr>
          <w:rFonts w:ascii="Arial" w:hAnsi="Arial" w:cs="Arial"/>
          <w:b/>
          <w:b/>
          <w:bCs/>
          <w:color w:val="153D63"/>
          <w:sz w:val="36"/>
          <w:szCs w:val="36"/>
        </w:rPr>
      </w:pPr>
      <w:r>
        <w:rPr>
          <w:rFonts w:cs="Arial" w:ascii="Arial" w:hAnsi="Arial"/>
          <w:b/>
          <w:bCs/>
          <w:color w:val="153D63"/>
          <w:sz w:val="36"/>
          <w:szCs w:val="36"/>
        </w:rPr>
        <w:t>Appendix 1: FACULTY OF PUBLIC HEALTH COMPETENCIES</w:t>
      </w:r>
    </w:p>
    <w:p>
      <w:pPr>
        <w:pStyle w:val="Normal"/>
        <w:jc w:val="center"/>
        <w:rPr>
          <w:rFonts w:ascii="Arial" w:hAnsi="Arial" w:cs="Arial"/>
        </w:rPr>
      </w:pPr>
      <w:r>
        <w:rPr>
          <w:rFonts w:cs="Arial" w:ascii="Arial" w:hAnsi="Arial"/>
        </w:rPr>
        <w:t>(Based on the 2022 Public Health Specialty Training Curriculum)</w:t>
      </w:r>
    </w:p>
    <w:p>
      <w:pPr>
        <w:pStyle w:val="Normal"/>
        <w:numPr>
          <w:ilvl w:val="0"/>
          <w:numId w:val="0"/>
        </w:numPr>
        <w:tabs>
          <w:tab w:val="clear" w:pos="720"/>
          <w:tab w:val="left" w:pos="0" w:leader="none"/>
        </w:tabs>
        <w:suppressAutoHyphens w:val="true"/>
        <w:spacing w:lineRule="auto" w:line="276" w:before="0" w:after="200"/>
        <w:ind w:left="0" w:hanging="0"/>
        <w:rPr>
          <w:rFonts w:eastAsia="Calibri" w:cs="Arial"/>
        </w:rPr>
      </w:pPr>
      <w:r>
        <w:rPr>
          <w:rFonts w:eastAsia="Calibri" w:cs="Arial"/>
        </w:rPr>
        <w:t xml:space="preserve">All consultants irrespective of their background are expected to be proficient in the competencies set out below. </w:t>
      </w:r>
    </w:p>
    <w:p>
      <w:pPr>
        <w:pStyle w:val="Normal"/>
        <w:spacing w:lineRule="auto" w:line="240" w:before="120" w:after="0"/>
        <w:rPr>
          <w:rFonts w:ascii="Arial" w:hAnsi="Arial" w:cs="Arial"/>
          <w:b/>
          <w:b/>
          <w:bCs/>
          <w:i/>
          <w:i/>
          <w:iCs/>
        </w:rPr>
      </w:pPr>
      <w:r>
        <w:rPr>
          <w:rFonts w:cs="Arial" w:ascii="Arial" w:hAnsi="Arial"/>
          <w:b/>
          <w:bCs/>
          <w:i/>
          <w:iCs/>
        </w:rPr>
        <w:t>Use of public health intelligence to survey and assess a population’s health and wellbeing</w:t>
      </w:r>
    </w:p>
    <w:p>
      <w:pPr>
        <w:pStyle w:val="Normal"/>
        <w:rPr>
          <w:rFonts w:ascii="Arial" w:hAnsi="Arial" w:cs="Arial"/>
        </w:rPr>
      </w:pPr>
      <w:r>
        <w:rPr>
          <w:rFonts w:cs="Arial" w:ascii="Arial" w:hAnsi="Arial"/>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pPr>
        <w:pStyle w:val="Normal"/>
        <w:spacing w:lineRule="auto" w:line="240" w:before="120" w:after="0"/>
        <w:rPr>
          <w:rFonts w:ascii="Arial" w:hAnsi="Arial" w:cs="Arial"/>
          <w:b/>
          <w:b/>
          <w:bCs/>
          <w:i/>
          <w:i/>
          <w:iCs/>
        </w:rPr>
      </w:pPr>
      <w:r>
        <w:rPr>
          <w:rFonts w:cs="Arial" w:ascii="Arial" w:hAnsi="Arial"/>
          <w:b/>
          <w:bCs/>
          <w:i/>
          <w:iCs/>
        </w:rPr>
        <w:t>Assessing the evidence of effectiveness of interventions, programmes and services intended to improve the health or wellbeing of individuals or populations</w:t>
      </w:r>
    </w:p>
    <w:p>
      <w:pPr>
        <w:pStyle w:val="Normal"/>
        <w:rPr>
          <w:rFonts w:ascii="Arial" w:hAnsi="Arial" w:cs="Arial"/>
        </w:rPr>
      </w:pPr>
      <w:r>
        <w:rPr>
          <w:rFonts w:cs="Arial" w:ascii="Arial" w:hAnsi="Arial"/>
        </w:rPr>
        <w:t>To be able to use a range of resources to generate and communicate appropriately evidenced and informed recommendations for improving population health across operational and strategic health and care settings.</w:t>
      </w:r>
    </w:p>
    <w:p>
      <w:pPr>
        <w:pStyle w:val="Normal"/>
        <w:spacing w:lineRule="auto" w:line="240" w:before="120" w:after="0"/>
        <w:rPr>
          <w:rFonts w:ascii="Arial" w:hAnsi="Arial" w:cs="Arial"/>
          <w:b/>
          <w:b/>
          <w:bCs/>
          <w:i/>
          <w:i/>
          <w:iCs/>
        </w:rPr>
      </w:pPr>
      <w:r>
        <w:rPr>
          <w:rFonts w:cs="Arial" w:ascii="Arial" w:hAnsi="Arial"/>
          <w:b/>
          <w:bCs/>
          <w:i/>
          <w:iCs/>
        </w:rPr>
        <w:t xml:space="preserve">Policy and strategy development and implementation </w:t>
      </w:r>
    </w:p>
    <w:p>
      <w:pPr>
        <w:pStyle w:val="Normal"/>
        <w:rPr>
          <w:rFonts w:ascii="Arial" w:hAnsi="Arial" w:cs="Arial"/>
        </w:rPr>
      </w:pPr>
      <w:r>
        <w:rPr>
          <w:rFonts w:cs="Arial" w:ascii="Arial" w:hAnsi="Arial"/>
        </w:rPr>
        <w:t>To be able to influence and contribute to the development of policy as well as lead the development and implementation of a strategy.</w:t>
      </w:r>
    </w:p>
    <w:p>
      <w:pPr>
        <w:pStyle w:val="Normal"/>
        <w:spacing w:lineRule="auto" w:line="240" w:before="120" w:after="0"/>
        <w:rPr>
          <w:rFonts w:ascii="Arial" w:hAnsi="Arial" w:cs="Arial"/>
          <w:b/>
          <w:b/>
          <w:bCs/>
          <w:i/>
          <w:i/>
          <w:iCs/>
        </w:rPr>
      </w:pPr>
      <w:r>
        <w:rPr>
          <w:rFonts w:cs="Arial" w:ascii="Arial" w:hAnsi="Arial"/>
          <w:b/>
          <w:bCs/>
          <w:i/>
          <w:iCs/>
        </w:rPr>
        <w:t>Strategic leadership and collaborative working for health</w:t>
      </w:r>
    </w:p>
    <w:p>
      <w:pPr>
        <w:pStyle w:val="Normal"/>
        <w:rPr>
          <w:rFonts w:ascii="Arial" w:hAnsi="Arial" w:cs="Arial"/>
        </w:rPr>
      </w:pPr>
      <w:r>
        <w:rPr>
          <w:rFonts w:cs="Arial" w:ascii="Arial" w:hAnsi="Arial"/>
        </w:rPr>
        <w:t>To use a range of effective strategic leadership, organisational and management skills, in a variety of complex public health situations and contexts, dealing effectively with uncertainty and the unexpected to achieve public health goals.</w:t>
      </w:r>
    </w:p>
    <w:p>
      <w:pPr>
        <w:pStyle w:val="Normal"/>
        <w:spacing w:lineRule="auto" w:line="240" w:before="120" w:after="0"/>
        <w:rPr>
          <w:rFonts w:ascii="Arial" w:hAnsi="Arial" w:cs="Arial"/>
          <w:b/>
          <w:b/>
          <w:bCs/>
          <w:i/>
          <w:i/>
          <w:iCs/>
        </w:rPr>
      </w:pPr>
      <w:r>
        <w:rPr>
          <w:rFonts w:cs="Arial" w:ascii="Arial" w:hAnsi="Arial"/>
          <w:b/>
          <w:bCs/>
          <w:i/>
          <w:iCs/>
        </w:rPr>
        <w:t>Health improvement, determinants of health and health communications</w:t>
      </w:r>
    </w:p>
    <w:p>
      <w:pPr>
        <w:pStyle w:val="Normal"/>
        <w:rPr>
          <w:rFonts w:ascii="Arial" w:hAnsi="Arial" w:cs="Arial"/>
        </w:rPr>
      </w:pPr>
      <w:r>
        <w:rPr>
          <w:rFonts w:cs="Arial" w:ascii="Arial" w:hAnsi="Arial"/>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pPr>
        <w:pStyle w:val="Normal"/>
        <w:spacing w:lineRule="auto" w:line="240" w:before="120" w:after="0"/>
        <w:rPr>
          <w:rFonts w:ascii="Arial" w:hAnsi="Arial" w:cs="Arial"/>
          <w:b/>
          <w:b/>
          <w:bCs/>
          <w:i/>
          <w:i/>
          <w:iCs/>
        </w:rPr>
      </w:pPr>
      <w:r>
        <w:rPr>
          <w:rFonts w:cs="Arial" w:ascii="Arial" w:hAnsi="Arial"/>
          <w:b/>
          <w:bCs/>
          <w:i/>
          <w:iCs/>
        </w:rPr>
        <w:t xml:space="preserve">Health protection </w:t>
      </w:r>
    </w:p>
    <w:p>
      <w:pPr>
        <w:pStyle w:val="Normal"/>
        <w:rPr>
          <w:rFonts w:ascii="Arial" w:hAnsi="Arial" w:cs="Arial"/>
        </w:rPr>
      </w:pPr>
      <w:r>
        <w:rPr>
          <w:rFonts w:cs="Arial" w:ascii="Arial" w:hAnsi="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pPr>
        <w:pStyle w:val="Normal"/>
        <w:spacing w:lineRule="auto" w:line="240" w:before="120" w:after="0"/>
        <w:rPr>
          <w:rFonts w:ascii="Arial" w:hAnsi="Arial" w:cs="Arial"/>
          <w:b/>
          <w:b/>
          <w:bCs/>
          <w:i/>
          <w:i/>
          <w:iCs/>
        </w:rPr>
      </w:pPr>
      <w:r>
        <w:rPr>
          <w:rFonts w:cs="Arial" w:ascii="Arial" w:hAnsi="Arial"/>
          <w:b/>
          <w:bCs/>
          <w:i/>
          <w:iCs/>
        </w:rPr>
        <w:t xml:space="preserve">Health and care public health </w:t>
      </w:r>
    </w:p>
    <w:p>
      <w:pPr>
        <w:pStyle w:val="Normal"/>
        <w:rPr>
          <w:rFonts w:ascii="Arial" w:hAnsi="Arial" w:cs="Arial"/>
        </w:rPr>
      </w:pPr>
      <w:r>
        <w:rPr>
          <w:rFonts w:cs="Arial" w:ascii="Arial" w:hAnsi="Arial"/>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pPr>
        <w:pStyle w:val="Normal"/>
        <w:spacing w:lineRule="auto" w:line="240" w:before="120" w:after="0"/>
        <w:rPr>
          <w:rFonts w:ascii="Arial" w:hAnsi="Arial" w:cs="Arial"/>
          <w:b/>
          <w:b/>
          <w:bCs/>
          <w:i/>
          <w:i/>
          <w:iCs/>
        </w:rPr>
      </w:pPr>
      <w:r>
        <w:rPr>
          <w:rFonts w:cs="Arial" w:ascii="Arial" w:hAnsi="Arial"/>
          <w:b/>
          <w:bCs/>
          <w:i/>
          <w:iCs/>
        </w:rPr>
        <w:t xml:space="preserve">Academic public health </w:t>
      </w:r>
    </w:p>
    <w:p>
      <w:pPr>
        <w:pStyle w:val="Normal"/>
        <w:rPr>
          <w:rFonts w:ascii="Arial" w:hAnsi="Arial" w:cs="Arial"/>
        </w:rPr>
      </w:pPr>
      <w:r>
        <w:rPr>
          <w:rFonts w:cs="Arial" w:ascii="Arial" w:hAnsi="Arial"/>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pPr>
        <w:pStyle w:val="Normal"/>
        <w:spacing w:lineRule="auto" w:line="240" w:before="120" w:after="0"/>
        <w:rPr>
          <w:rFonts w:ascii="Arial" w:hAnsi="Arial" w:cs="Arial"/>
          <w:b/>
          <w:b/>
          <w:bCs/>
          <w:i/>
          <w:i/>
          <w:iCs/>
        </w:rPr>
      </w:pPr>
      <w:r>
        <w:rPr>
          <w:rFonts w:cs="Arial" w:ascii="Arial" w:hAnsi="Arial"/>
          <w:b/>
          <w:bCs/>
          <w:i/>
          <w:iCs/>
        </w:rPr>
        <w:t>Professional, personal and ethical development</w:t>
      </w:r>
    </w:p>
    <w:p>
      <w:pPr>
        <w:pStyle w:val="Normal"/>
        <w:rPr>
          <w:rFonts w:ascii="Arial" w:hAnsi="Arial" w:cs="Arial"/>
        </w:rPr>
      </w:pPr>
      <w:r>
        <w:rPr>
          <w:rFonts w:cs="Arial" w:ascii="Arial" w:hAnsi="Arial"/>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pPr>
        <w:pStyle w:val="Normal"/>
        <w:spacing w:lineRule="auto" w:line="240" w:before="120" w:after="0"/>
        <w:rPr>
          <w:rFonts w:ascii="Arial" w:hAnsi="Arial" w:cs="Arial"/>
          <w:b/>
          <w:b/>
          <w:bCs/>
          <w:i/>
          <w:i/>
          <w:iCs/>
        </w:rPr>
      </w:pPr>
      <w:r>
        <w:rPr>
          <w:rFonts w:cs="Arial" w:ascii="Arial" w:hAnsi="Arial"/>
          <w:b/>
          <w:bCs/>
          <w:i/>
          <w:iCs/>
        </w:rPr>
        <w:t>Integration and application of competencies for consultant practice</w:t>
      </w:r>
    </w:p>
    <w:p>
      <w:pPr>
        <w:pStyle w:val="Normal"/>
        <w:rPr>
          <w:rFonts w:ascii="Arial" w:hAnsi="Arial" w:cs="Arial"/>
        </w:rPr>
      </w:pPr>
      <w:r>
        <w:rPr>
          <w:rFonts w:cs="Arial" w:ascii="Arial" w:hAnsi="Arial"/>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pPr>
        <w:pStyle w:val="Normal"/>
        <w:rPr>
          <w:rFonts w:ascii="Arial" w:hAnsi="Arial" w:cs="Arial"/>
        </w:rPr>
      </w:pPr>
      <w:r>
        <w:rPr>
          <w:rFonts w:cs="Arial" w:ascii="Arial" w:hAnsi="Arial"/>
        </w:rPr>
      </w:r>
      <w:r>
        <w:br w:type="page"/>
      </w:r>
    </w:p>
    <w:p>
      <w:pPr>
        <w:pStyle w:val="Normal"/>
        <w:jc w:val="center"/>
        <w:rPr>
          <w:rFonts w:ascii="Arial" w:hAnsi="Arial" w:cs="Arial"/>
          <w:b/>
          <w:b/>
          <w:bCs/>
          <w:color w:val="153D63"/>
          <w:sz w:val="24"/>
          <w:szCs w:val="24"/>
        </w:rPr>
      </w:pPr>
      <w:r>
        <w:rPr>
          <w:rFonts w:cs="Arial" w:ascii="Arial" w:hAnsi="Arial"/>
          <w:b/>
          <w:bCs/>
          <w:color w:val="153D63"/>
          <w:sz w:val="24"/>
          <w:szCs w:val="24"/>
        </w:rPr>
        <w:t>PERSON SPECIFICATION</w:t>
      </w:r>
    </w:p>
    <w:p>
      <w:pPr>
        <w:pStyle w:val="Normal"/>
        <w:jc w:val="center"/>
        <w:rPr>
          <w:rFonts w:ascii="Arial" w:hAnsi="Arial" w:cs="Arial"/>
          <w:b/>
          <w:b/>
          <w:bCs/>
          <w:color w:val="153D63"/>
          <w:sz w:val="24"/>
          <w:szCs w:val="24"/>
        </w:rPr>
      </w:pPr>
      <w:r>
        <w:rPr>
          <w:rFonts w:cs="Arial" w:ascii="Arial" w:hAnsi="Arial"/>
          <w:b/>
          <w:bCs/>
          <w:color w:val="153D63"/>
          <w:sz w:val="24"/>
          <w:szCs w:val="24"/>
        </w:rPr>
        <w:t>ASSISTANT DIRECTOR/CONSULTANT IN PUBLIC HEALTH</w:t>
      </w:r>
    </w:p>
    <w:tbl>
      <w:tblPr>
        <w:tblW w:w="10079" w:type="dxa"/>
        <w:jc w:val="left"/>
        <w:tblInd w:w="-157" w:type="dxa"/>
        <w:tblCellMar>
          <w:top w:w="28" w:type="dxa"/>
          <w:left w:w="85" w:type="dxa"/>
          <w:bottom w:w="28" w:type="dxa"/>
          <w:right w:w="85" w:type="dxa"/>
        </w:tblCellMar>
      </w:tblPr>
      <w:tblGrid>
        <w:gridCol w:w="8222"/>
        <w:gridCol w:w="850"/>
        <w:gridCol w:w="1007"/>
      </w:tblGrid>
      <w:tr>
        <w:trPr/>
        <w:tc>
          <w:tcPr>
            <w:tcW w:w="10079"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before="0" w:after="0"/>
              <w:rPr>
                <w:rFonts w:ascii="Calibri" w:hAnsi="Calibri" w:cs="Calibri"/>
                <w:b/>
                <w:b/>
                <w:sz w:val="18"/>
                <w:szCs w:val="18"/>
              </w:rPr>
            </w:pPr>
            <w:r>
              <w:rPr>
                <w:rFonts w:cs="Calibri" w:ascii="Calibri" w:hAnsi="Calibri"/>
                <w:b/>
                <w:sz w:val="18"/>
                <w:szCs w:val="18"/>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trPr/>
        <w:tc>
          <w:tcPr>
            <w:tcW w:w="8222" w:type="dxa"/>
            <w:tcBorders>
              <w:top w:val="single" w:sz="6" w:space="0" w:color="000000"/>
              <w:left w:val="single" w:sz="6" w:space="0" w:color="000000"/>
              <w:bottom w:val="single" w:sz="6" w:space="0" w:color="000000"/>
            </w:tcBorders>
            <w:shd w:fill="D9D9D9" w:val="clear"/>
          </w:tcPr>
          <w:p>
            <w:pPr>
              <w:pStyle w:val="Normal"/>
              <w:spacing w:before="0" w:after="0"/>
              <w:rPr>
                <w:rFonts w:ascii="Calibri" w:hAnsi="Calibri" w:cs="Calibri"/>
                <w:b/>
                <w:b/>
                <w:sz w:val="18"/>
                <w:szCs w:val="18"/>
              </w:rPr>
            </w:pPr>
            <w:r>
              <w:rPr>
                <w:rFonts w:cs="Calibri" w:ascii="Calibri" w:hAnsi="Calibri"/>
                <w:b/>
                <w:sz w:val="18"/>
                <w:szCs w:val="18"/>
              </w:rPr>
              <w:t>Education/Qualifications</w:t>
            </w:r>
          </w:p>
        </w:tc>
        <w:tc>
          <w:tcPr>
            <w:tcW w:w="850" w:type="dxa"/>
            <w:tcBorders>
              <w:top w:val="single" w:sz="6" w:space="0" w:color="000000"/>
              <w:left w:val="single" w:sz="6" w:space="0" w:color="000000"/>
              <w:bottom w:val="single" w:sz="6" w:space="0" w:color="000000"/>
            </w:tcBorders>
            <w:shd w:fill="D9D9D9" w:val="clear"/>
          </w:tcPr>
          <w:p>
            <w:pPr>
              <w:pStyle w:val="Normal"/>
              <w:spacing w:before="0" w:after="0"/>
              <w:jc w:val="center"/>
              <w:rPr>
                <w:rFonts w:ascii="Calibri" w:hAnsi="Calibri" w:cs="Calibri"/>
                <w:b/>
                <w:b/>
                <w:sz w:val="18"/>
                <w:szCs w:val="18"/>
              </w:rPr>
            </w:pPr>
            <w:r>
              <w:rPr>
                <w:rFonts w:cs="Calibri" w:ascii="Calibri" w:hAnsi="Calibri"/>
                <w:b/>
                <w:sz w:val="18"/>
                <w:szCs w:val="18"/>
              </w:rPr>
              <w:t>Essential</w:t>
            </w:r>
          </w:p>
        </w:tc>
        <w:tc>
          <w:tcPr>
            <w:tcW w:w="1007" w:type="dxa"/>
            <w:tcBorders>
              <w:top w:val="single" w:sz="6" w:space="0" w:color="000000"/>
              <w:left w:val="single" w:sz="6" w:space="0" w:color="000000"/>
              <w:bottom w:val="single" w:sz="6" w:space="0" w:color="000000"/>
              <w:right w:val="single" w:sz="6" w:space="0" w:color="000000"/>
            </w:tcBorders>
            <w:shd w:fill="D9D9D9" w:val="clear"/>
          </w:tcPr>
          <w:p>
            <w:pPr>
              <w:pStyle w:val="Normal"/>
              <w:spacing w:before="0" w:after="0"/>
              <w:jc w:val="center"/>
              <w:rPr>
                <w:rFonts w:ascii="Calibri" w:hAnsi="Calibri" w:cs="Calibri"/>
                <w:b/>
                <w:b/>
                <w:sz w:val="18"/>
                <w:szCs w:val="18"/>
              </w:rPr>
            </w:pPr>
            <w:r>
              <w:rPr>
                <w:rFonts w:cs="Calibri" w:ascii="Calibri" w:hAnsi="Calibri"/>
                <w:b/>
                <w:sz w:val="18"/>
                <w:szCs w:val="18"/>
              </w:rPr>
              <w:t>Desirable</w:t>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pPr>
            <w:r>
              <w:rPr>
                <w:rStyle w:val="InternetLink"/>
                <w:rFonts w:cs="Calibri" w:ascii="Calibri" w:hAnsi="Calibri"/>
                <w:sz w:val="18"/>
                <w:szCs w:val="18"/>
              </w:rPr>
              <w:t>The National Health Service (Appointment of Consultants) Regulations 1996 (legislation.gov.uk)</w:t>
            </w:r>
          </w:p>
          <w:p>
            <w:pPr>
              <w:pStyle w:val="Normal"/>
              <w:spacing w:before="0" w:after="0"/>
              <w:rPr/>
            </w:pPr>
            <w:r>
              <w:rPr>
                <w:rFonts w:cs="Calibri" w:ascii="Calibri" w:hAnsi="Calibri"/>
                <w:sz w:val="18"/>
                <w:szCs w:val="18"/>
              </w:rPr>
              <w:t xml:space="preserve">In line with legislation, inclusion in the GMC Full and Specialist Register with a license to practice/GDC Specialist List or inclusion in the UK Public Health Register (UKPHR) for Public Health Specialists </w:t>
            </w:r>
            <w:r>
              <w:rPr>
                <w:rFonts w:cs="Calibri" w:ascii="Calibri" w:hAnsi="Calibri"/>
                <w:b/>
                <w:bCs/>
                <w:sz w:val="18"/>
                <w:szCs w:val="18"/>
              </w:rPr>
              <w:t xml:space="preserve">at the point of application. </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i/>
                <w:i/>
                <w:sz w:val="18"/>
                <w:szCs w:val="18"/>
              </w:rPr>
            </w:pPr>
            <w:r>
              <w:rPr>
                <w:rFonts w:cs="Calibri" w:ascii="Calibri" w:hAnsi="Calibri"/>
                <w:i/>
                <w:sz w:val="18"/>
                <w:szCs w:val="18"/>
              </w:rPr>
              <w:t>If included in the GMC Specialist Register/GDC Specialist List in a specialty other than public health medicine/dental public health, candidates must have equivalent training and/or appropriate experience of public health practice</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pacing w:val="-2"/>
                <w:sz w:val="18"/>
                <w:szCs w:val="18"/>
              </w:rPr>
            </w:pPr>
            <w:r>
              <w:rPr>
                <w:rFonts w:cs="Calibri" w:ascii="Calibri" w:hAnsi="Calibri"/>
                <w:spacing w:val="-2"/>
                <w:sz w:val="18"/>
                <w:szCs w:val="18"/>
              </w:rPr>
            </w:r>
          </w:p>
        </w:tc>
      </w:tr>
      <w:tr>
        <w:trPr>
          <w:trHeight w:val="642" w:hRule="atLeast"/>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pPr>
            <w:r>
              <w:rPr>
                <w:rFonts w:cs="Calibri" w:ascii="Calibri" w:hAnsi="Calibri"/>
                <w:sz w:val="18"/>
                <w:szCs w:val="18"/>
              </w:rPr>
              <w:t xml:space="preserve">Any public health </w:t>
            </w:r>
            <w:r>
              <w:rPr>
                <w:rFonts w:cs="Calibri" w:ascii="Calibri" w:hAnsi="Calibri"/>
                <w:b/>
                <w:bCs/>
                <w:sz w:val="18"/>
                <w:szCs w:val="18"/>
              </w:rPr>
              <w:t>speciality registrar applicants</w:t>
            </w:r>
            <w:r>
              <w:rPr>
                <w:rFonts w:cs="Calibri" w:ascii="Calibri" w:hAnsi="Calibri"/>
                <w:sz w:val="18"/>
                <w:szCs w:val="18"/>
              </w:rPr>
              <w:t xml:space="preserve"> who are currently on the UK public health training programme and not yet on either the GMC, GDC or UKPHR specialist register </w:t>
            </w:r>
            <w:r>
              <w:rPr>
                <w:rFonts w:cs="Calibri" w:ascii="Calibri" w:hAnsi="Calibri"/>
                <w:b/>
                <w:bCs/>
                <w:sz w:val="18"/>
                <w:szCs w:val="18"/>
                <w:u w:val="single"/>
              </w:rPr>
              <w:t>must</w:t>
            </w:r>
            <w:r>
              <w:rPr>
                <w:rFonts w:cs="Calibri" w:ascii="Calibri" w:hAnsi="Calibri"/>
                <w:sz w:val="18"/>
                <w:szCs w:val="18"/>
              </w:rPr>
              <w:t xml:space="preserve"> provide verifiable signed documentary evidence that they are within 6 months of gaining entry to a register at the date of interview</w:t>
            </w:r>
          </w:p>
          <w:p>
            <w:pPr>
              <w:pStyle w:val="Normal"/>
              <w:spacing w:before="0" w:after="0"/>
              <w:rPr/>
            </w:pPr>
            <w:r>
              <w:rPr>
                <w:rFonts w:cs="Calibri" w:ascii="Calibri" w:hAnsi="Calibri"/>
                <w:b/>
                <w:bCs/>
                <w:sz w:val="18"/>
                <w:szCs w:val="18"/>
              </w:rPr>
              <w:t>Applicants going through the portfolio registration routes (GMC or UKPHR) are not eligible to be shortlisted for interview until they are included on the register. The six-month rule does not apply to these portfolio route applicants</w:t>
            </w:r>
            <w:r>
              <w:rPr>
                <w:rFonts w:cs="Calibri" w:ascii="Calibri" w:hAnsi="Calibri"/>
                <w:sz w:val="18"/>
                <w:szCs w:val="18"/>
              </w:rPr>
              <w:t>.</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rHeight w:val="709" w:hRule="atLeast"/>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pPr>
            <w:r>
              <w:rPr>
                <w:rFonts w:cs="Calibri" w:ascii="Calibri" w:hAnsi="Calibri"/>
                <w:bCs/>
                <w:sz w:val="18"/>
                <w:szCs w:val="18"/>
              </w:rPr>
              <w:t xml:space="preserve">If an applicant is UK trained in Public Health, they must ALSO be a holder of a Certificate of Completion of Training (CCT) or be within six months of award of CCT by date of interview. </w:t>
            </w:r>
            <w:r>
              <w:rPr>
                <w:rFonts w:cs="Calibri" w:ascii="Calibri" w:hAnsi="Calibri"/>
                <w:sz w:val="18"/>
                <w:szCs w:val="18"/>
              </w:rPr>
              <w:t xml:space="preserve">If an applicant is non-UK trained, they will be required to show evidence of equivalence to the UK CCT </w:t>
            </w:r>
            <w:r>
              <w:rPr>
                <w:rFonts w:cs="Calibri" w:ascii="Calibri" w:hAnsi="Calibri"/>
                <w:i/>
                <w:spacing w:val="-2"/>
                <w:sz w:val="18"/>
                <w:szCs w:val="18"/>
              </w:rPr>
              <w:t>[see shortlisting notes below)</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pacing w:val="-2"/>
                <w:sz w:val="18"/>
                <w:szCs w:val="18"/>
              </w:rPr>
            </w:pPr>
            <w:r>
              <w:rPr>
                <w:rFonts w:cs="Calibri" w:ascii="Calibri" w:hAnsi="Calibri"/>
                <w:spacing w:val="-2"/>
                <w:sz w:val="18"/>
                <w:szCs w:val="18"/>
              </w:rPr>
              <w:t xml:space="preserve">Applicants must meet minimum CPD requirements (i.e. be up to date) in accordance with Faculty of Public Health requirements or other recognised body </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pacing w:val="-2"/>
                <w:sz w:val="18"/>
                <w:szCs w:val="18"/>
              </w:rPr>
            </w:pPr>
            <w:r>
              <w:rPr>
                <w:rFonts w:cs="Calibri" w:ascii="Calibri" w:hAnsi="Calibri"/>
                <w:spacing w:val="-2"/>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pacing w:val="-2"/>
                <w:sz w:val="18"/>
                <w:szCs w:val="18"/>
              </w:rPr>
            </w:pPr>
            <w:r>
              <w:rPr>
                <w:rFonts w:cs="Calibri" w:ascii="Calibri" w:hAnsi="Calibri"/>
                <w:spacing w:val="-2"/>
                <w:sz w:val="18"/>
                <w:szCs w:val="18"/>
              </w:rPr>
              <w:t>MFPH by examination, by exemption or by assessment, or equivalent</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pacing w:val="-2"/>
                <w:sz w:val="18"/>
                <w:szCs w:val="18"/>
              </w:rPr>
            </w:pPr>
            <w:r>
              <w:rPr>
                <w:rFonts w:cs="Calibri" w:ascii="Calibri" w:hAnsi="Calibri"/>
                <w:spacing w:val="-2"/>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pacing w:val="-2"/>
                <w:sz w:val="18"/>
                <w:szCs w:val="18"/>
              </w:rPr>
            </w:pPr>
            <w:r>
              <w:rPr>
                <w:rFonts w:cs="Calibri" w:ascii="Calibri" w:hAnsi="Calibri"/>
                <w:spacing w:val="-2"/>
                <w:sz w:val="18"/>
                <w:szCs w:val="18"/>
              </w:rPr>
              <w:t>Masters in Public Health or equivalent</w:t>
            </w:r>
          </w:p>
        </w:tc>
        <w:tc>
          <w:tcPr>
            <w:tcW w:w="850" w:type="dxa"/>
            <w:tcBorders>
              <w:top w:val="single" w:sz="6" w:space="0" w:color="000000"/>
              <w:left w:val="single" w:sz="6" w:space="0" w:color="000000"/>
              <w:bottom w:val="single" w:sz="6" w:space="0" w:color="000000"/>
            </w:tcBorders>
            <w:shd w:fill="auto" w:val="clear"/>
            <w:vAlign w:val="center"/>
          </w:tcPr>
          <w:p>
            <w:pPr>
              <w:pStyle w:val="Normal"/>
              <w:snapToGrid w:val="false"/>
              <w:spacing w:before="0" w:after="0"/>
              <w:jc w:val="center"/>
              <w:rPr>
                <w:rFonts w:ascii="Calibri" w:hAnsi="Calibri" w:cs="Calibri"/>
                <w:spacing w:val="-2"/>
                <w:sz w:val="18"/>
                <w:szCs w:val="18"/>
              </w:rPr>
            </w:pPr>
            <w:r>
              <w:rPr>
                <w:rFonts w:cs="Calibri" w:ascii="Calibri" w:hAnsi="Calibri"/>
                <w:spacing w:val="-2"/>
                <w:sz w:val="18"/>
                <w:szCs w:val="18"/>
              </w:rPr>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jc w:val="center"/>
              <w:rPr>
                <w:rFonts w:ascii="Calibri" w:hAnsi="Calibri" w:cs="Calibri"/>
                <w:spacing w:val="-2"/>
                <w:sz w:val="18"/>
                <w:szCs w:val="18"/>
              </w:rPr>
            </w:pPr>
            <w:r>
              <w:rPr>
                <w:rFonts w:cs="Calibri" w:ascii="Calibri" w:hAnsi="Calibri"/>
                <w:spacing w:val="-2"/>
                <w:sz w:val="18"/>
                <w:szCs w:val="18"/>
              </w:rPr>
              <w:t>X</w:t>
            </w:r>
          </w:p>
        </w:tc>
      </w:tr>
      <w:tr>
        <w:trPr>
          <w:trHeight w:val="65" w:hRule="atLeast"/>
        </w:trPr>
        <w:tc>
          <w:tcPr>
            <w:tcW w:w="8222" w:type="dxa"/>
            <w:tcBorders>
              <w:top w:val="single" w:sz="6" w:space="0" w:color="000000"/>
              <w:left w:val="single" w:sz="6" w:space="0" w:color="000000"/>
              <w:bottom w:val="single" w:sz="6" w:space="0" w:color="000000"/>
            </w:tcBorders>
            <w:shd w:fill="D9D9D9" w:val="clear"/>
          </w:tcPr>
          <w:p>
            <w:pPr>
              <w:pStyle w:val="Normal"/>
              <w:spacing w:before="0" w:after="0"/>
              <w:rPr>
                <w:rFonts w:ascii="Calibri" w:hAnsi="Calibri" w:cs="Calibri"/>
                <w:b/>
                <w:b/>
                <w:sz w:val="18"/>
                <w:szCs w:val="18"/>
              </w:rPr>
            </w:pPr>
            <w:r>
              <w:rPr>
                <w:rFonts w:cs="Calibri" w:ascii="Calibri" w:hAnsi="Calibri"/>
                <w:b/>
                <w:sz w:val="18"/>
                <w:szCs w:val="18"/>
              </w:rPr>
              <w:t xml:space="preserve">Personal qualities </w:t>
            </w:r>
          </w:p>
        </w:tc>
        <w:tc>
          <w:tcPr>
            <w:tcW w:w="850" w:type="dxa"/>
            <w:tcBorders>
              <w:top w:val="single" w:sz="6" w:space="0" w:color="000000"/>
              <w:left w:val="single" w:sz="6" w:space="0" w:color="000000"/>
              <w:bottom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c>
          <w:tcPr>
            <w:tcW w:w="1007" w:type="dxa"/>
            <w:tcBorders>
              <w:top w:val="single" w:sz="6" w:space="0" w:color="000000"/>
              <w:left w:val="single" w:sz="6" w:space="0" w:color="000000"/>
              <w:bottom w:val="single" w:sz="6" w:space="0" w:color="000000"/>
              <w:right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Able to influence senior members including directors and CEOs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Able to both lead teams and to able to contribute effectively to teams led by junior colleagues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Commitment to work within a political system irrespective of personal political affiliations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D9D9D9" w:val="clear"/>
          </w:tcPr>
          <w:p>
            <w:pPr>
              <w:pStyle w:val="Normal"/>
              <w:spacing w:before="0" w:after="0"/>
              <w:rPr>
                <w:rFonts w:ascii="Calibri" w:hAnsi="Calibri" w:cs="Calibri"/>
                <w:b/>
                <w:b/>
                <w:sz w:val="18"/>
                <w:szCs w:val="18"/>
              </w:rPr>
            </w:pPr>
            <w:r>
              <w:rPr>
                <w:rFonts w:cs="Calibri" w:ascii="Calibri" w:hAnsi="Calibri"/>
                <w:b/>
                <w:sz w:val="18"/>
                <w:szCs w:val="18"/>
              </w:rPr>
              <w:t>Experience</w:t>
            </w:r>
          </w:p>
        </w:tc>
        <w:tc>
          <w:tcPr>
            <w:tcW w:w="850" w:type="dxa"/>
            <w:tcBorders>
              <w:top w:val="single" w:sz="6" w:space="0" w:color="000000"/>
              <w:left w:val="single" w:sz="6" w:space="0" w:color="000000"/>
              <w:bottom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c>
          <w:tcPr>
            <w:tcW w:w="1007" w:type="dxa"/>
            <w:tcBorders>
              <w:top w:val="single" w:sz="6" w:space="0" w:color="000000"/>
              <w:left w:val="single" w:sz="6" w:space="0" w:color="000000"/>
              <w:bottom w:val="single" w:sz="6" w:space="0" w:color="000000"/>
              <w:right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 xml:space="preserve">Delivery of successful change management programmes across organizational boundaries </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Header"/>
              <w:rPr>
                <w:rFonts w:ascii="Calibri" w:hAnsi="Calibri" w:cs="Calibri"/>
                <w:sz w:val="18"/>
                <w:szCs w:val="18"/>
              </w:rPr>
            </w:pPr>
            <w:r>
              <w:rPr>
                <w:rFonts w:cs="Calibri" w:ascii="Calibri" w:hAnsi="Calibri"/>
                <w:sz w:val="18"/>
                <w:szCs w:val="18"/>
              </w:rPr>
              <w:t>Media experience demonstrating delivery of effective health behaviour or health improvement messages</w:t>
            </w:r>
          </w:p>
        </w:tc>
        <w:tc>
          <w:tcPr>
            <w:tcW w:w="850" w:type="dxa"/>
            <w:tcBorders>
              <w:top w:val="single" w:sz="6" w:space="0" w:color="000000"/>
              <w:left w:val="single" w:sz="6" w:space="0" w:color="000000"/>
              <w:bottom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r>
      <w:tr>
        <w:trPr/>
        <w:tc>
          <w:tcPr>
            <w:tcW w:w="8222" w:type="dxa"/>
            <w:tcBorders>
              <w:top w:val="single" w:sz="6" w:space="0" w:color="000000"/>
              <w:left w:val="single" w:sz="6" w:space="0" w:color="000000"/>
              <w:bottom w:val="single" w:sz="6" w:space="0" w:color="000000"/>
            </w:tcBorders>
            <w:shd w:fill="auto" w:val="clear"/>
          </w:tcPr>
          <w:p>
            <w:pPr>
              <w:pStyle w:val="Header"/>
              <w:rPr>
                <w:rFonts w:ascii="Calibri" w:hAnsi="Calibri" w:cs="Calibri"/>
                <w:sz w:val="18"/>
                <w:szCs w:val="18"/>
              </w:rPr>
            </w:pPr>
            <w:r>
              <w:rPr>
                <w:rFonts w:cs="Calibri" w:ascii="Calibri" w:hAnsi="Calibri"/>
                <w:sz w:val="18"/>
                <w:szCs w:val="18"/>
              </w:rPr>
              <w:t>Experience of using complex information to explain public health issues to a range of audiences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D9D9D9" w:val="clear"/>
          </w:tcPr>
          <w:p>
            <w:pPr>
              <w:pStyle w:val="Normal"/>
              <w:spacing w:before="0" w:after="0"/>
              <w:rPr>
                <w:rFonts w:ascii="Calibri" w:hAnsi="Calibri" w:cs="Calibri"/>
                <w:b/>
                <w:b/>
                <w:sz w:val="18"/>
                <w:szCs w:val="18"/>
              </w:rPr>
            </w:pPr>
            <w:r>
              <w:rPr>
                <w:rFonts w:cs="Calibri" w:ascii="Calibri" w:hAnsi="Calibri"/>
                <w:b/>
                <w:sz w:val="18"/>
                <w:szCs w:val="18"/>
              </w:rPr>
              <w:t>Skills</w:t>
            </w:r>
          </w:p>
        </w:tc>
        <w:tc>
          <w:tcPr>
            <w:tcW w:w="850" w:type="dxa"/>
            <w:tcBorders>
              <w:top w:val="single" w:sz="6" w:space="0" w:color="000000"/>
              <w:left w:val="single" w:sz="6" w:space="0" w:color="000000"/>
              <w:bottom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c>
          <w:tcPr>
            <w:tcW w:w="1007" w:type="dxa"/>
            <w:tcBorders>
              <w:top w:val="single" w:sz="6" w:space="0" w:color="000000"/>
              <w:left w:val="single" w:sz="6" w:space="0" w:color="000000"/>
              <w:bottom w:val="single" w:sz="6" w:space="0" w:color="000000"/>
              <w:right w:val="single" w:sz="6" w:space="0" w:color="000000"/>
            </w:tcBorders>
            <w:shd w:fill="D9D9D9" w:val="clear"/>
            <w:vAlign w:val="center"/>
          </w:tcPr>
          <w:p>
            <w:pPr>
              <w:pStyle w:val="Normal"/>
              <w:snapToGrid w:val="false"/>
              <w:spacing w:before="0" w:after="0"/>
              <w:jc w:val="center"/>
              <w:rPr>
                <w:rFonts w:ascii="Calibri" w:hAnsi="Calibri" w:cs="Calibri"/>
                <w:b/>
                <w:b/>
                <w:sz w:val="18"/>
                <w:szCs w:val="18"/>
              </w:rPr>
            </w:pPr>
            <w:r>
              <w:rPr>
                <w:rFonts w:cs="Calibri" w:ascii="Calibri" w:hAnsi="Calibri"/>
                <w:b/>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Strategic thinker with proven leadership skills and operational nous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Able to demonstrate and motivate organisations to contribute to improving the public’s health and wellbeing through mainstream activities and within resources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Ability to lead and manage the response successfully in unplanned and unforeseen circumstances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 xml:space="preserve">Analytical skills able to utilize both qualitative (including health economics) and quantitative information </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Ability to design, develop, interpret and implement strategies and policies</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D9D9D9" w:val="clear"/>
          </w:tcPr>
          <w:p>
            <w:pPr>
              <w:pStyle w:val="Normal"/>
              <w:spacing w:before="0" w:after="0"/>
              <w:rPr>
                <w:rFonts w:ascii="Calibri" w:hAnsi="Calibri" w:cs="Calibri"/>
                <w:b/>
                <w:b/>
                <w:sz w:val="18"/>
                <w:szCs w:val="18"/>
              </w:rPr>
            </w:pPr>
            <w:r>
              <w:rPr>
                <w:rFonts w:cs="Calibri" w:ascii="Calibri" w:hAnsi="Calibri"/>
                <w:b/>
                <w:sz w:val="18"/>
                <w:szCs w:val="18"/>
              </w:rPr>
              <w:t>Knowledge</w:t>
            </w:r>
          </w:p>
        </w:tc>
        <w:tc>
          <w:tcPr>
            <w:tcW w:w="850" w:type="dxa"/>
            <w:tcBorders>
              <w:top w:val="single" w:sz="6" w:space="0" w:color="000000"/>
              <w:left w:val="single" w:sz="6" w:space="0" w:color="000000"/>
              <w:bottom w:val="single" w:sz="6" w:space="0" w:color="000000"/>
            </w:tcBorders>
            <w:shd w:fill="D9D9D9" w:val="clear"/>
            <w:vAlign w:val="center"/>
          </w:tcPr>
          <w:p>
            <w:pPr>
              <w:pStyle w:val="Normal"/>
              <w:snapToGrid w:val="false"/>
              <w:spacing w:before="0" w:after="0"/>
              <w:jc w:val="center"/>
              <w:rPr>
                <w:rFonts w:ascii="Calibri" w:hAnsi="Calibri" w:cs="Calibri"/>
                <w:b/>
                <w:b/>
                <w:i/>
                <w:i/>
                <w:sz w:val="18"/>
                <w:szCs w:val="18"/>
              </w:rPr>
            </w:pPr>
            <w:r>
              <w:rPr>
                <w:rFonts w:cs="Calibri" w:ascii="Calibri" w:hAnsi="Calibri"/>
                <w:b/>
                <w:i/>
                <w:sz w:val="18"/>
                <w:szCs w:val="18"/>
              </w:rPr>
            </w:r>
          </w:p>
        </w:tc>
        <w:tc>
          <w:tcPr>
            <w:tcW w:w="1007" w:type="dxa"/>
            <w:tcBorders>
              <w:top w:val="single" w:sz="6" w:space="0" w:color="000000"/>
              <w:left w:val="single" w:sz="6" w:space="0" w:color="000000"/>
              <w:bottom w:val="single" w:sz="6" w:space="0" w:color="000000"/>
              <w:right w:val="single" w:sz="6" w:space="0" w:color="000000"/>
            </w:tcBorders>
            <w:shd w:fill="D9D9D9" w:val="clear"/>
            <w:vAlign w:val="center"/>
          </w:tcPr>
          <w:p>
            <w:pPr>
              <w:pStyle w:val="Normal"/>
              <w:snapToGrid w:val="false"/>
              <w:spacing w:before="0" w:after="0"/>
              <w:jc w:val="center"/>
              <w:rPr>
                <w:rFonts w:ascii="Calibri" w:hAnsi="Calibri" w:cs="Calibri"/>
                <w:b/>
                <w:b/>
                <w:i/>
                <w:i/>
                <w:sz w:val="18"/>
                <w:szCs w:val="18"/>
              </w:rPr>
            </w:pPr>
            <w:r>
              <w:rPr>
                <w:rFonts w:cs="Calibri" w:ascii="Calibri" w:hAnsi="Calibri"/>
                <w:b/>
                <w: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Header"/>
              <w:rPr>
                <w:rFonts w:ascii="Calibri" w:hAnsi="Calibri" w:cs="Calibri"/>
                <w:sz w:val="18"/>
                <w:szCs w:val="18"/>
              </w:rPr>
            </w:pPr>
            <w:r>
              <w:rPr>
                <w:rFonts w:cs="Calibri" w:ascii="Calibri" w:hAnsi="Calibri"/>
                <w:sz w:val="18"/>
                <w:szCs w:val="18"/>
              </w:rPr>
              <w:t>In-depth understanding of health and care system and relationships with both local &amp; national government</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In depth knowledge of methods of developing clinical quality assurance, quality improvement, evaluations and evidence based public health practice</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Strong and demonstrable understanding of interfaces between health, social care and key partners (dealing with wider determinants of health)</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r>
        <w:trPr/>
        <w:tc>
          <w:tcPr>
            <w:tcW w:w="8222" w:type="dxa"/>
            <w:tcBorders>
              <w:top w:val="single" w:sz="6" w:space="0" w:color="000000"/>
              <w:left w:val="single" w:sz="6" w:space="0" w:color="000000"/>
              <w:bottom w:val="single" w:sz="6" w:space="0" w:color="000000"/>
            </w:tcBorders>
            <w:shd w:fill="auto" w:val="clear"/>
          </w:tcPr>
          <w:p>
            <w:pPr>
              <w:pStyle w:val="Normal"/>
              <w:spacing w:before="0" w:after="0"/>
              <w:rPr>
                <w:rFonts w:ascii="Calibri" w:hAnsi="Calibri" w:cs="Calibri"/>
                <w:sz w:val="18"/>
                <w:szCs w:val="18"/>
              </w:rPr>
            </w:pPr>
            <w:r>
              <w:rPr>
                <w:rFonts w:cs="Calibri" w:ascii="Calibri" w:hAnsi="Calibri"/>
                <w:sz w:val="18"/>
                <w:szCs w:val="18"/>
              </w:rPr>
              <w:t>Understanding of the public sector duty and the inequality duty and their application to public health practice</w:t>
            </w:r>
          </w:p>
        </w:tc>
        <w:tc>
          <w:tcPr>
            <w:tcW w:w="850" w:type="dxa"/>
            <w:tcBorders>
              <w:top w:val="single" w:sz="6" w:space="0" w:color="000000"/>
              <w:left w:val="single" w:sz="6" w:space="0" w:color="000000"/>
              <w:bottom w:val="single" w:sz="6" w:space="0" w:color="000000"/>
            </w:tcBorders>
            <w:shd w:fill="auto" w:val="clear"/>
            <w:vAlign w:val="center"/>
          </w:tcPr>
          <w:p>
            <w:pPr>
              <w:pStyle w:val="Normal"/>
              <w:spacing w:before="0" w:after="0"/>
              <w:jc w:val="center"/>
              <w:rPr>
                <w:rFonts w:ascii="Calibri" w:hAnsi="Calibri" w:cs="Calibri"/>
                <w:sz w:val="18"/>
                <w:szCs w:val="18"/>
              </w:rPr>
            </w:pPr>
            <w:r>
              <w:rPr>
                <w:rFonts w:cs="Calibri" w:ascii="Calibri" w:hAnsi="Calibri"/>
                <w:sz w:val="18"/>
                <w:szCs w:val="18"/>
              </w:rPr>
              <w:t>X</w:t>
            </w:r>
          </w:p>
        </w:tc>
        <w:tc>
          <w:tcPr>
            <w:tcW w:w="10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napToGrid w:val="false"/>
              <w:spacing w:before="0" w:after="0"/>
              <w:jc w:val="center"/>
              <w:rPr>
                <w:rFonts w:ascii="Calibri" w:hAnsi="Calibri" w:cs="Calibri"/>
                <w:sz w:val="18"/>
                <w:szCs w:val="18"/>
              </w:rPr>
            </w:pPr>
            <w:r>
              <w:rPr>
                <w:rFonts w:cs="Calibri" w:ascii="Calibri" w:hAnsi="Calibri"/>
                <w:sz w:val="18"/>
                <w:szCs w:val="18"/>
              </w:rPr>
            </w:r>
          </w:p>
        </w:tc>
      </w:tr>
    </w:tbl>
    <w:p>
      <w:pPr>
        <w:pStyle w:val="Normal"/>
        <w:spacing w:before="0" w:after="160"/>
        <w:rPr/>
      </w:pPr>
      <w:r>
        <w:rPr/>
      </w:r>
    </w:p>
    <w:sectPr>
      <w:footerReference w:type="default" r:id="rId2"/>
      <w:type w:val="nextPage"/>
      <w:pgSz w:w="11906" w:h="16838"/>
      <w:pgMar w:left="1080" w:right="1080" w:header="0" w:top="1440" w:footer="556"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18"/>
        <w:szCs w:val="18"/>
      </w:rPr>
      <w:t xml:space="preserve">Page </w:t>
    </w:r>
    <w:r>
      <w:rPr>
        <w:rFonts w:cs="Arial" w:ascii="Arial" w:hAnsi="Arial"/>
        <w:sz w:val="18"/>
        <w:szCs w:val="18"/>
      </w:rPr>
      <w:fldChar w:fldCharType="begin"/>
    </w:r>
    <w:r>
      <w:rPr>
        <w:sz w:val="18"/>
        <w:szCs w:val="18"/>
        <w:rFonts w:cs="Arial" w:ascii="Arial" w:hAnsi="Arial"/>
      </w:rPr>
      <w:instrText> PAGE </w:instrText>
    </w:r>
    <w:r>
      <w:rPr>
        <w:sz w:val="18"/>
        <w:szCs w:val="18"/>
        <w:rFonts w:cs="Arial" w:ascii="Arial" w:hAnsi="Arial"/>
      </w:rPr>
      <w:fldChar w:fldCharType="separate"/>
    </w:r>
    <w:r>
      <w:rPr>
        <w:sz w:val="18"/>
        <w:szCs w:val="18"/>
        <w:rFonts w:cs="Arial" w:ascii="Arial" w:hAnsi="Arial"/>
      </w:rPr>
      <w:t>12</w:t>
    </w:r>
    <w:r>
      <w:rPr>
        <w:sz w:val="18"/>
        <w:szCs w:val="18"/>
        <w:rFonts w:cs="Arial" w:ascii="Arial" w:hAnsi="Arial"/>
      </w:rPr>
      <w:fldChar w:fldCharType="end"/>
    </w:r>
    <w:r>
      <w:rPr>
        <w:rFonts w:cs="Arial" w:ascii="Arial" w:hAnsi="Arial"/>
        <w:sz w:val="18"/>
        <w:szCs w:val="18"/>
      </w:rPr>
      <w:t xml:space="preserve"> of </w:t>
    </w:r>
    <w:r>
      <w:rPr>
        <w:rFonts w:cs="Arial" w:ascii="Arial" w:hAnsi="Arial"/>
        <w:sz w:val="18"/>
        <w:szCs w:val="18"/>
      </w:rPr>
      <w:fldChar w:fldCharType="begin"/>
    </w:r>
    <w:r>
      <w:rPr>
        <w:sz w:val="18"/>
        <w:szCs w:val="18"/>
        <w:rFonts w:cs="Arial" w:ascii="Arial" w:hAnsi="Arial"/>
      </w:rPr>
      <w:instrText> NUMPAGES \* ARABIC </w:instrText>
    </w:r>
    <w:r>
      <w:rPr>
        <w:sz w:val="18"/>
        <w:szCs w:val="18"/>
        <w:rFonts w:cs="Arial" w:ascii="Arial" w:hAnsi="Arial"/>
      </w:rPr>
      <w:fldChar w:fldCharType="separate"/>
    </w:r>
    <w:r>
      <w:rPr>
        <w:sz w:val="18"/>
        <w:szCs w:val="18"/>
        <w:rFonts w:cs="Arial" w:ascii="Arial" w:hAnsi="Arial"/>
      </w:rPr>
      <w:t>12</w:t>
    </w:r>
    <w:r>
      <w:rPr>
        <w:sz w:val="18"/>
        <w:szCs w:val="18"/>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054" w:hanging="360"/>
      </w:pPr>
      <w:rPr>
        <w:rFonts w:ascii="Symbol" w:hAnsi="Symbol" w:cs="Symbol" w:hint="default"/>
        <w:rFonts w:cs="Arial"/>
      </w:rPr>
    </w:lvl>
    <w:lvl w:ilvl="1">
      <w:start w:val="1"/>
      <w:numFmt w:val="bullet"/>
      <w:lvlText w:val="o"/>
      <w:lvlJc w:val="left"/>
      <w:pPr>
        <w:ind w:left="3774" w:hanging="360"/>
      </w:pPr>
      <w:rPr>
        <w:rFonts w:ascii="Courier New" w:hAnsi="Courier New" w:cs="Courier New" w:hint="default"/>
        <w:rFonts w:cs="Courier New"/>
      </w:rPr>
    </w:lvl>
    <w:lvl w:ilvl="2">
      <w:start w:val="1"/>
      <w:numFmt w:val="bullet"/>
      <w:lvlText w:val=""/>
      <w:lvlJc w:val="left"/>
      <w:pPr>
        <w:ind w:left="4494" w:hanging="360"/>
      </w:pPr>
      <w:rPr>
        <w:rFonts w:ascii="Wingdings" w:hAnsi="Wingdings" w:cs="Wingdings" w:hint="default"/>
        <w:rFonts w:cs="Wingdings"/>
      </w:rPr>
    </w:lvl>
    <w:lvl w:ilvl="3">
      <w:start w:val="1"/>
      <w:numFmt w:val="bullet"/>
      <w:lvlText w:val=""/>
      <w:lvlJc w:val="left"/>
      <w:pPr>
        <w:ind w:left="5214" w:hanging="360"/>
      </w:pPr>
      <w:rPr>
        <w:rFonts w:ascii="Symbol" w:hAnsi="Symbol" w:cs="Symbol" w:hint="default"/>
        <w:rFonts w:cs="Symbol"/>
      </w:rPr>
    </w:lvl>
    <w:lvl w:ilvl="4">
      <w:start w:val="1"/>
      <w:numFmt w:val="bullet"/>
      <w:lvlText w:val="o"/>
      <w:lvlJc w:val="left"/>
      <w:pPr>
        <w:ind w:left="5934" w:hanging="360"/>
      </w:pPr>
      <w:rPr>
        <w:rFonts w:ascii="Courier New" w:hAnsi="Courier New" w:cs="Courier New" w:hint="default"/>
        <w:rFonts w:cs="Courier New"/>
      </w:rPr>
    </w:lvl>
    <w:lvl w:ilvl="5">
      <w:start w:val="1"/>
      <w:numFmt w:val="bullet"/>
      <w:lvlText w:val=""/>
      <w:lvlJc w:val="left"/>
      <w:pPr>
        <w:ind w:left="6654" w:hanging="360"/>
      </w:pPr>
      <w:rPr>
        <w:rFonts w:ascii="Wingdings" w:hAnsi="Wingdings" w:cs="Wingdings" w:hint="default"/>
        <w:rFonts w:cs="Wingdings"/>
      </w:rPr>
    </w:lvl>
    <w:lvl w:ilvl="6">
      <w:start w:val="1"/>
      <w:numFmt w:val="bullet"/>
      <w:lvlText w:val=""/>
      <w:lvlJc w:val="left"/>
      <w:pPr>
        <w:ind w:left="7374" w:hanging="360"/>
      </w:pPr>
      <w:rPr>
        <w:rFonts w:ascii="Symbol" w:hAnsi="Symbol" w:cs="Symbol" w:hint="default"/>
        <w:rFonts w:cs="Symbol"/>
      </w:rPr>
    </w:lvl>
    <w:lvl w:ilvl="7">
      <w:start w:val="1"/>
      <w:numFmt w:val="bullet"/>
      <w:lvlText w:val="o"/>
      <w:lvlJc w:val="left"/>
      <w:pPr>
        <w:ind w:left="8094" w:hanging="360"/>
      </w:pPr>
      <w:rPr>
        <w:rFonts w:ascii="Courier New" w:hAnsi="Courier New" w:cs="Courier New" w:hint="default"/>
        <w:rFonts w:cs="Courier New"/>
      </w:rPr>
    </w:lvl>
    <w:lvl w:ilvl="8">
      <w:start w:val="1"/>
      <w:numFmt w:val="bullet"/>
      <w:lvlText w:val=""/>
      <w:lvlJc w:val="left"/>
      <w:pPr>
        <w:ind w:left="8814" w:hanging="360"/>
      </w:pPr>
      <w:rPr>
        <w:rFonts w:ascii="Wingdings" w:hAnsi="Wingdings" w:cs="Wingdings" w:hint="default"/>
        <w:rFonts w:cs="Wingdings"/>
      </w:rPr>
    </w:lvl>
  </w:abstractNum>
  <w:abstractNum w:abstractNumId="3">
    <w:lvl w:ilvl="0">
      <w:start w:val="1"/>
      <w:numFmt w:val="bullet"/>
      <w:lvlText w:val=""/>
      <w:lvlJc w:val="left"/>
      <w:pPr>
        <w:ind w:left="1080" w:hanging="72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8"/>
      </w:pPr>
      <w:rPr/>
    </w:lvl>
    <w:lvl w:ilvl="4">
      <w:start w:val="1"/>
      <w:numFmt w:val="decimal"/>
      <w:lvlText w:val="%1.%2.%3.%4.%5."/>
      <w:lvlJc w:val="left"/>
      <w:pPr>
        <w:ind w:left="2232" w:hanging="792"/>
      </w:pPr>
      <w:rPr/>
    </w:lvl>
    <w:lvl w:ilvl="5">
      <w:start w:val="1"/>
      <w:numFmt w:val="decimal"/>
      <w:lvlText w:val="%1.%2.%3.%4.%5.%6."/>
      <w:lvlJc w:val="left"/>
      <w:pPr>
        <w:ind w:left="2736" w:hanging="936"/>
      </w:pPr>
      <w:rPr/>
    </w:lvl>
    <w:lvl w:ilvl="6">
      <w:start w:val="1"/>
      <w:numFmt w:val="decimal"/>
      <w:lvlText w:val="%1.%2.%3.%4.%5.%6.%7."/>
      <w:lvlJc w:val="left"/>
      <w:pPr>
        <w:ind w:left="3240" w:hanging="1080"/>
      </w:pPr>
      <w:rPr/>
    </w:lvl>
    <w:lvl w:ilvl="7">
      <w:start w:val="1"/>
      <w:numFmt w:val="decimal"/>
      <w:lvlText w:val="%1.%2.%3.%4.%5.%6.%7.%8."/>
      <w:lvlJc w:val="left"/>
      <w:pPr>
        <w:ind w:left="3744" w:hanging="1224"/>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Arial"/>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游ゴシック Light" w:cs="Times New Roman"/>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游ゴシック Light" w:cs="Times New Roman"/>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游ゴシック Light" w:cs="Times New Roman"/>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游ゴシック Light" w:cs="Times New Roman"/>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游ゴシック Light" w:cs="Times New Roman"/>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游ゴシック Light"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游ゴシック Light"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游ゴシック Light"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游ゴシック Light" w:cs="Times New Roman"/>
      <w:color w:val="272727"/>
    </w:rPr>
  </w:style>
  <w:style w:type="character" w:styleId="WW8Num1z0">
    <w:name w:val="WW8Num1z0"/>
    <w:qFormat/>
    <w:rPr>
      <w:rFonts w:ascii="Symbol" w:hAnsi="Symbol"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游ゴシック Light" w:cs="Times New Roman"/>
      <w:color w:val="0F4761"/>
      <w:sz w:val="40"/>
      <w:szCs w:val="40"/>
    </w:rPr>
  </w:style>
  <w:style w:type="character" w:styleId="Heading2Char">
    <w:name w:val="Heading 2 Char"/>
    <w:basedOn w:val="DefaultParagraphFont"/>
    <w:qFormat/>
    <w:rPr>
      <w:rFonts w:ascii="Aptos Display" w:hAnsi="Aptos Display" w:eastAsia="游ゴシック Light" w:cs="Times New Roman"/>
      <w:color w:val="0F4761"/>
      <w:sz w:val="32"/>
      <w:szCs w:val="32"/>
    </w:rPr>
  </w:style>
  <w:style w:type="character" w:styleId="Heading3Char">
    <w:name w:val="Heading 3 Char"/>
    <w:basedOn w:val="DefaultParagraphFont"/>
    <w:qFormat/>
    <w:rPr>
      <w:rFonts w:eastAsia="游ゴシック Light" w:cs="Times New Roman"/>
      <w:color w:val="0F4761"/>
      <w:sz w:val="28"/>
      <w:szCs w:val="28"/>
    </w:rPr>
  </w:style>
  <w:style w:type="character" w:styleId="Heading4Char">
    <w:name w:val="Heading 4 Char"/>
    <w:basedOn w:val="DefaultParagraphFont"/>
    <w:qFormat/>
    <w:rPr>
      <w:rFonts w:eastAsia="游ゴシック Light" w:cs="Times New Roman"/>
      <w:i/>
      <w:iCs/>
      <w:color w:val="0F4761"/>
    </w:rPr>
  </w:style>
  <w:style w:type="character" w:styleId="Heading5Char">
    <w:name w:val="Heading 5 Char"/>
    <w:basedOn w:val="DefaultParagraphFont"/>
    <w:qFormat/>
    <w:rPr>
      <w:rFonts w:eastAsia="游ゴシック Light" w:cs="Times New Roman"/>
      <w:color w:val="0F4761"/>
    </w:rPr>
  </w:style>
  <w:style w:type="character" w:styleId="Heading6Char">
    <w:name w:val="Heading 6 Char"/>
    <w:basedOn w:val="DefaultParagraphFont"/>
    <w:qFormat/>
    <w:rPr>
      <w:rFonts w:eastAsia="游ゴシック Light" w:cs="Times New Roman"/>
      <w:i/>
      <w:iCs/>
      <w:color w:val="595959"/>
    </w:rPr>
  </w:style>
  <w:style w:type="character" w:styleId="Heading7Char">
    <w:name w:val="Heading 7 Char"/>
    <w:basedOn w:val="DefaultParagraphFont"/>
    <w:qFormat/>
    <w:rPr>
      <w:rFonts w:eastAsia="游ゴシック Light" w:cs="Times New Roman"/>
      <w:color w:val="595959"/>
    </w:rPr>
  </w:style>
  <w:style w:type="character" w:styleId="Heading8Char">
    <w:name w:val="Heading 8 Char"/>
    <w:basedOn w:val="DefaultParagraphFont"/>
    <w:qFormat/>
    <w:rPr>
      <w:rFonts w:eastAsia="游ゴシック Light" w:cs="Times New Roman"/>
      <w:i/>
      <w:iCs/>
      <w:color w:val="272727"/>
    </w:rPr>
  </w:style>
  <w:style w:type="character" w:styleId="Heading9Char">
    <w:name w:val="Heading 9 Char"/>
    <w:basedOn w:val="DefaultParagraphFont"/>
    <w:qFormat/>
    <w:rPr>
      <w:rFonts w:eastAsia="游ゴシック Light" w:cs="Times New Roman"/>
      <w:color w:val="272727"/>
    </w:rPr>
  </w:style>
  <w:style w:type="character" w:styleId="TitleChar">
    <w:name w:val="Title Char"/>
    <w:basedOn w:val="DefaultParagraphFont"/>
    <w:qFormat/>
    <w:rPr>
      <w:rFonts w:ascii="Aptos Display" w:hAnsi="Aptos Display" w:eastAsia="游ゴシック Light" w:cs="Times New Roman"/>
      <w:spacing w:val="-10"/>
      <w:kern w:val="2"/>
      <w:sz w:val="56"/>
      <w:szCs w:val="56"/>
    </w:rPr>
  </w:style>
  <w:style w:type="character" w:styleId="SubtitleChar">
    <w:name w:val="Subtitle Char"/>
    <w:basedOn w:val="DefaultParagraphFont"/>
    <w:qFormat/>
    <w:rPr>
      <w:rFonts w:eastAsia="游ゴシック Light"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6607D"/>
      <w:u w:val="single"/>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游ゴシック Light" w:cs="Times New Roman"/>
      <w:spacing w:val="-10"/>
      <w:kern w:val="2"/>
      <w:sz w:val="56"/>
      <w:szCs w:val="56"/>
    </w:rPr>
  </w:style>
  <w:style w:type="paragraph" w:styleId="Subtitle">
    <w:name w:val="Subtitle"/>
    <w:basedOn w:val="Normal"/>
    <w:next w:val="Normal"/>
    <w:qFormat/>
    <w:pPr/>
    <w:rPr>
      <w:rFonts w:eastAsia="游ゴシック Light"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Paragraph">
    <w:name w:val="Table Paragraph"/>
    <w:basedOn w:val="Normal"/>
    <w:qFormat/>
    <w:pPr>
      <w:spacing w:lineRule="auto" w:line="240" w:before="0" w:after="0"/>
    </w:pPr>
    <w:rPr>
      <w:rFonts w:ascii="Calibri" w:hAnsi="Calibri" w:cs="Calibri"/>
      <w:kern w:val="0"/>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Aptos" w:hAnsi="Aptos" w:eastAsia="Aptos" w:cs="Arial"/>
      <w:color w:val="auto"/>
      <w:kern w:val="2"/>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Faculty of Public Health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2026-04-20T14:31:00Z</dcterms:created>
  <dc:creator>Julian Ryder</dc:creator>
  <dc:description/>
  <dc:language>en-US</dc:language>
  <cp:lastModifiedBy>McLoughlin, Sean</cp:lastModifiedBy>
  <cp:lastPrinted>1995-11-21T17:41:00Z</cp:lastPrinted>
  <dcterms:modified xsi:type="dcterms:W3CDTF">2026-04-20T14:31:00Z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Faculty of Public Health</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