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853" w:type="dxa"/>
        <w:jc w:val="left"/>
        <w:tblInd w:w="-108" w:type="dxa"/>
        <w:tblCellMar>
          <w:top w:w="0" w:type="dxa"/>
          <w:left w:w="108" w:type="dxa"/>
          <w:bottom w:w="0" w:type="dxa"/>
          <w:right w:w="108" w:type="dxa"/>
        </w:tblCellMar>
      </w:tblPr>
      <w:tblGrid>
        <w:gridCol w:w="6628"/>
        <w:gridCol w:w="3225"/>
      </w:tblGrid>
      <w:tr>
        <w:trPr/>
        <w:tc>
          <w:tcPr>
            <w:tcW w:w="6628" w:type="dxa"/>
            <w:tcBorders/>
            <w:shd w:fill="auto" w:val="clear"/>
          </w:tcPr>
          <w:p>
            <w:pPr>
              <w:pStyle w:val="Normal"/>
              <w:snapToGrid w:val="false"/>
              <w:spacing w:lineRule="auto" w:line="240" w:before="0" w:after="0"/>
              <w:rPr/>
            </w:pPr>
            <w:r>
              <w:rPr/>
            </w:r>
          </w:p>
        </w:tc>
        <w:tc>
          <w:tcPr>
            <w:tcW w:w="3225"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853"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858" w:type="dxa"/>
        <w:jc w:val="left"/>
        <w:tblInd w:w="-110" w:type="dxa"/>
        <w:tblCellMar>
          <w:top w:w="0" w:type="dxa"/>
          <w:left w:w="108" w:type="dxa"/>
          <w:bottom w:w="0" w:type="dxa"/>
          <w:right w:w="108" w:type="dxa"/>
        </w:tblCellMar>
      </w:tblPr>
      <w:tblGrid>
        <w:gridCol w:w="2092"/>
        <w:gridCol w:w="7766"/>
      </w:tblGrid>
      <w:tr>
        <w:trPr>
          <w:trHeight w:val="23" w:hRule="atLeast"/>
        </w:trPr>
        <w:tc>
          <w:tcPr>
            <w:tcW w:w="9858"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92"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76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All Saints Primary School </w:t>
            </w:r>
            <w:bookmarkStart w:id="0" w:name="_GoBack"/>
            <w:bookmarkEnd w:id="0"/>
          </w:p>
        </w:tc>
      </w:tr>
      <w:tr>
        <w:trPr>
          <w:trHeight w:val="23" w:hRule="atLeast"/>
        </w:trPr>
        <w:tc>
          <w:tcPr>
            <w:tcW w:w="2092"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76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 Business Manager</w:t>
            </w:r>
          </w:p>
        </w:tc>
      </w:tr>
      <w:tr>
        <w:trPr>
          <w:trHeight w:val="23" w:hRule="atLeast"/>
        </w:trPr>
        <w:tc>
          <w:tcPr>
            <w:tcW w:w="2092"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76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H</w:t>
            </w:r>
          </w:p>
        </w:tc>
      </w:tr>
      <w:tr>
        <w:trPr>
          <w:trHeight w:val="23" w:hRule="atLeast"/>
        </w:trPr>
        <w:tc>
          <w:tcPr>
            <w:tcW w:w="2092"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76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the disciplines of Finance, Personnel, Estate Management, Administration and all matters within the management of the school which are supportive to, but not involve, the teaching function.</w:t>
            </w:r>
          </w:p>
        </w:tc>
      </w:tr>
      <w:tr>
        <w:trPr>
          <w:trHeight w:val="23" w:hRule="atLeast"/>
        </w:trPr>
        <w:tc>
          <w:tcPr>
            <w:tcW w:w="2092"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76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Head Teacher</w:t>
            </w:r>
          </w:p>
        </w:tc>
      </w:tr>
      <w:tr>
        <w:trPr>
          <w:trHeight w:val="23" w:hRule="atLeast"/>
        </w:trPr>
        <w:tc>
          <w:tcPr>
            <w:tcW w:w="2092"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76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Clerical Assistant, Site Manager, School Meals and other Support Staff where appropriate.</w:t>
            </w:r>
          </w:p>
        </w:tc>
      </w:tr>
      <w:tr>
        <w:trPr>
          <w:trHeight w:val="23" w:hRule="atLeast"/>
        </w:trPr>
        <w:tc>
          <w:tcPr>
            <w:tcW w:w="2092"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76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manage the school expenditure, revenue accounts and capital budgets in accordance with the Local Authority’s financial regulations and the terms of the Scheme of Financial Delegation of the School’s Governing Body.</w:t>
            </w:r>
          </w:p>
        </w:tc>
      </w:tr>
    </w:tbl>
    <w:p>
      <w:pPr>
        <w:pStyle w:val="Normal"/>
        <w:rPr/>
      </w:pPr>
      <w:r>
        <w:rPr/>
      </w:r>
    </w:p>
    <w:tbl>
      <w:tblPr>
        <w:tblW w:w="9858" w:type="dxa"/>
        <w:jc w:val="left"/>
        <w:tblInd w:w="-110" w:type="dxa"/>
        <w:tblCellMar>
          <w:top w:w="0" w:type="dxa"/>
          <w:left w:w="108" w:type="dxa"/>
          <w:bottom w:w="0" w:type="dxa"/>
          <w:right w:w="108" w:type="dxa"/>
        </w:tblCellMar>
      </w:tblPr>
      <w:tblGrid>
        <w:gridCol w:w="674"/>
        <w:gridCol w:w="9184"/>
      </w:tblGrid>
      <w:tr>
        <w:trPr>
          <w:trHeight w:val="23" w:hRule="atLeast"/>
        </w:trPr>
        <w:tc>
          <w:tcPr>
            <w:tcW w:w="9858"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Finance</w:t>
            </w:r>
          </w:p>
          <w:p>
            <w:pPr>
              <w:pStyle w:val="Normal"/>
              <w:spacing w:lineRule="auto" w:line="240" w:before="0" w:after="0"/>
              <w:rPr>
                <w:rFonts w:cs="Arial"/>
              </w:rPr>
            </w:pPr>
            <w:r>
              <w:rPr>
                <w:rFonts w:cs="Arial"/>
              </w:rPr>
              <w:t>Obtain agreement on expenditure with budget holders, monitor accounts and provide regular financial reports as required.</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provide regular reports on the financial state of the school to Governors and the Head Teacher.</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use financial management information, especially benchmarking tools, to identify areas of relative spend and advise accordingly.</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suggest ways of effecting budget efficiency savings.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the management of the school accounting function, ensuring its efficient operation according to agreed procedures, and to maintain those procedures by conducting at least an annual review.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rFonts w:cs="Arial"/>
              </w:rPr>
              <w:t>To monitor all accounting procedures and resolve any problems including the ordering, processing and payment of all goods and services provided to the school; the operation of all bank accounts, ensuring that a full reconciliation is undertaken at least once per month; maintain an assets register;</w:t>
            </w:r>
            <w:r>
              <w:rPr/>
              <w:t xml:space="preserve"> </w:t>
            </w:r>
            <w:r>
              <w:rPr>
                <w:rFonts w:cs="Arial"/>
              </w:rPr>
              <w:t>preparation of invoices and collection of all fees and other dues; liaise with the Local Authority to take legal action where necessary to recover bad debts.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the receipt, balancing and banking of all school meal monies and the weekly balance of school meals registers.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prepare all financial returns for the DfE, Local Authority and other central and local government agencies within statutory deadlines.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maximise income generation including writing bids and securing funds for the school.</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reconcile on a monthly basis all the school’s records with those of the Local Authority including salaries and supply cover.</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liaise and provide all information required by the internal auditors and implement any recommendations.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seeking advice on insurance and advising the Governors on appropriate insurances for the school. Implement the approved insurances and handle any claims that arise.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FSVS (School Financial Value Standards) are achieved and maintained.</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Premises Management</w:t>
            </w:r>
          </w:p>
          <w:p>
            <w:pPr>
              <w:pStyle w:val="Normal"/>
              <w:spacing w:lineRule="auto" w:line="240" w:before="0" w:after="0"/>
              <w:rPr>
                <w:rFonts w:cs="Arial"/>
              </w:rPr>
            </w:pPr>
            <w:r>
              <w:rPr>
                <w:rFonts w:cs="Arial"/>
              </w:rPr>
              <w:t>To be responsible for the maintenance of the school site and the buildings, the preparation of maintenance schedules and the efficient operation of all facilities on the property.</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have oversight of premises support staff, including caretakers and cleaners employed through service level agreement, whilst in school.</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monitor the cleaning and grounds maintenance contracts for the school to ensure efficiency, effectiveness and value for money and prepare any tender documents for renewal or change of contact.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the letting of school premises to outside organisations and school staff, and for the development of all school facilities for out of school use with particular reference to the local community.</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have day to day responsibility for Health and Safety Management and Risk Assessment and Hazard Identification.</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aware about the main Health and Safety issues specific to the school and how they relate to pupils, staff, visitors and contractors.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use risk assessment tools to establish hazards within the school and the associated risks involved.</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evaluation and preparation of long term development and refurbishment plans to the school premises.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keep records of and initiate regular fire practices and weekly alarm tests.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Personnel</w:t>
            </w:r>
          </w:p>
          <w:p>
            <w:pPr>
              <w:pStyle w:val="Normal"/>
              <w:spacing w:lineRule="auto" w:line="240" w:before="0" w:after="0"/>
              <w:rPr>
                <w:rFonts w:cs="Arial"/>
              </w:rPr>
            </w:pPr>
            <w:r>
              <w:rPr>
                <w:rFonts w:cs="Arial"/>
              </w:rPr>
              <w:t>Provide leadership and direct line management for clerical staff, site manager and cleaning staff.</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DBS checks are completed correctly and be responsible for ensuring that new staff have DBS, medical clearance and satisfactory references. Liaise with the Local Authority to ensure contracts are issued correctly.</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confidential staff records and the submission of all Personnel returns to the Local Authority.</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Arrange supply cover for teachers and support staff as required.</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coordinate the administration of recruitment processes for all staff.</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Responsibility for performance management and appraisal of Clerical Assistants, Site Manager, School Meals and other Support Staff.</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that the Single Central Record is completed correctly and maintained effectively.</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Whole School Administration</w:t>
            </w:r>
          </w:p>
          <w:p>
            <w:pPr>
              <w:pStyle w:val="Normal"/>
              <w:spacing w:lineRule="auto" w:line="240" w:before="0" w:after="0"/>
              <w:rPr>
                <w:rFonts w:cs="Arial"/>
              </w:rPr>
            </w:pPr>
            <w:r>
              <w:rPr>
                <w:rFonts w:cs="Arial"/>
              </w:rPr>
              <w:t>To manage the administrative function in school including administrative ICT facilities, school reception, reprographics, records and telephones.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the systems and general management of the school’s administrative and financial computer network, including the implementation of appropriate management information systems.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provide for the preparation and publication of all school records and publications.</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all information, records and data are updated and maintained efficiently and effectively.</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Additional Responsibilities</w:t>
            </w:r>
          </w:p>
          <w:p>
            <w:pPr>
              <w:pStyle w:val="Normal"/>
              <w:spacing w:lineRule="auto" w:line="240" w:before="0" w:after="0"/>
              <w:rPr>
                <w:rFonts w:cs="Arial"/>
              </w:rPr>
            </w:pPr>
            <w:r>
              <w:rPr>
                <w:rFonts w:cs="Arial"/>
              </w:rPr>
              <w:t>To comply with and assist in the development of policies and procedures relating to child protection, health, safety and security, confidentiality and data protection reporting all concerns as appropriate.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the school ethos, aims and the development plan.</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Attend and participate in meetings as required.</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918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Participate in training and development activities and performance development as required.</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858" w:type="dxa"/>
        <w:jc w:val="left"/>
        <w:tblInd w:w="-110" w:type="dxa"/>
        <w:tblCellMar>
          <w:top w:w="0" w:type="dxa"/>
          <w:left w:w="108" w:type="dxa"/>
          <w:bottom w:w="0" w:type="dxa"/>
          <w:right w:w="108" w:type="dxa"/>
        </w:tblCellMar>
      </w:tblPr>
      <w:tblGrid>
        <w:gridCol w:w="3369"/>
        <w:gridCol w:w="6489"/>
      </w:tblGrid>
      <w:tr>
        <w:trPr>
          <w:trHeight w:val="23" w:hRule="atLeast"/>
        </w:trPr>
        <w:tc>
          <w:tcPr>
            <w:tcW w:w="9858"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6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4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6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4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1.05pt;height:16.3pt" type="#shapetype_75"/>
                <w:control r:id="rId3" w:name="Date Field 1" w:shapeid="control_shape_0"/>
              </w:object>
            </w:r>
            <w:r>
              <w:rPr>
                <w:rFonts w:cs="Arial"/>
              </w:rPr>
              <w:t xml:space="preserve"> </w: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853" w:type="dxa"/>
        <w:jc w:val="left"/>
        <w:tblInd w:w="-108" w:type="dxa"/>
        <w:tblCellMar>
          <w:top w:w="0" w:type="dxa"/>
          <w:left w:w="108" w:type="dxa"/>
          <w:bottom w:w="0" w:type="dxa"/>
          <w:right w:w="108" w:type="dxa"/>
        </w:tblCellMar>
      </w:tblPr>
      <w:tblGrid>
        <w:gridCol w:w="6628"/>
        <w:gridCol w:w="3225"/>
      </w:tblGrid>
      <w:tr>
        <w:trPr/>
        <w:tc>
          <w:tcPr>
            <w:tcW w:w="6628" w:type="dxa"/>
            <w:tcBorders/>
            <w:shd w:fill="auto" w:val="clear"/>
          </w:tcPr>
          <w:p>
            <w:pPr>
              <w:pStyle w:val="Normal"/>
              <w:snapToGrid w:val="false"/>
              <w:spacing w:lineRule="auto" w:line="240" w:before="0" w:after="0"/>
              <w:jc w:val="right"/>
              <w:rPr/>
            </w:pPr>
            <w:r>
              <w:rPr/>
            </w:r>
          </w:p>
        </w:tc>
        <w:tc>
          <w:tcPr>
            <w:tcW w:w="3225"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853"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858" w:type="dxa"/>
        <w:jc w:val="left"/>
        <w:tblInd w:w="-110" w:type="dxa"/>
        <w:tblCellMar>
          <w:top w:w="0" w:type="dxa"/>
          <w:left w:w="108" w:type="dxa"/>
          <w:bottom w:w="0" w:type="dxa"/>
          <w:right w:w="108" w:type="dxa"/>
        </w:tblCellMar>
      </w:tblPr>
      <w:tblGrid>
        <w:gridCol w:w="1668"/>
        <w:gridCol w:w="8190"/>
      </w:tblGrid>
      <w:tr>
        <w:trPr>
          <w:trHeight w:val="23" w:hRule="atLeast"/>
        </w:trPr>
        <w:tc>
          <w:tcPr>
            <w:tcW w:w="9858"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6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81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
                <w:b/>
              </w:rPr>
            </w:pPr>
            <w:r>
              <w:rPr>
                <w:rFonts w:cs="Arial"/>
                <w:b/>
              </w:rPr>
              <w:t xml:space="preserve">All Saints Primary School </w:t>
            </w:r>
          </w:p>
        </w:tc>
      </w:tr>
      <w:tr>
        <w:trPr>
          <w:trHeight w:val="23" w:hRule="atLeast"/>
        </w:trPr>
        <w:tc>
          <w:tcPr>
            <w:tcW w:w="166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81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 Business Manager</w:t>
            </w:r>
          </w:p>
        </w:tc>
      </w:tr>
      <w:tr>
        <w:trPr>
          <w:trHeight w:val="23" w:hRule="atLeast"/>
        </w:trPr>
        <w:tc>
          <w:tcPr>
            <w:tcW w:w="166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819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H</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11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deliver services and systems applicable for effective school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deliver value for money initiatives.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lead teams and individuals.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strategically influence decision making within the 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use a range of ICT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self-evaluate learning needs and actively seek learning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relate well to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Work constructively as part of a team, understanding school roles and responsibilities and your own position within these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To be able to initiate opportunities for self and others and to find solutions to ensure tasks are completed within specified timeframes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To be able to initiate opportunities for self and others and to find solutions to ensure tasks are completed within specified timeframes.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Highly developed interpersonal skills including influencing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11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managing strategic financial plans.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managing budgets, financial reporting, procurement and fixed assets.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managing teams, HR functions and Health and Safety.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Experience of the implementation, development, management and operation of administrative systems.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CSBM / DSBM or NVQ Level 4 Business Degree or equivalent related professional qualification.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t>Willingness to participate in relevant training and development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11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Willingness to constructively challenge the work of self and others to continually improve own team performance.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under pressure and meet deadlines.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11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Previous experience of working within a school office environment at a senior level.</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Previous experience of statistical returns e.g. DfE and SIMS packages.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11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Evidence of continuing Professional Development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8" w:type="dxa"/>
        <w:jc w:val="left"/>
        <w:tblInd w:w="-110" w:type="dxa"/>
        <w:tblCellMar>
          <w:top w:w="0" w:type="dxa"/>
          <w:left w:w="108" w:type="dxa"/>
          <w:bottom w:w="0" w:type="dxa"/>
          <w:right w:w="108" w:type="dxa"/>
        </w:tblCellMar>
      </w:tblPr>
      <w:tblGrid>
        <w:gridCol w:w="3793"/>
        <w:gridCol w:w="6065"/>
      </w:tblGrid>
      <w:tr>
        <w:trPr>
          <w:trHeight w:val="23" w:hRule="atLeast"/>
        </w:trPr>
        <w:tc>
          <w:tcPr>
            <w:tcW w:w="9858"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93"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606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93"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606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3</w:t>
    </w:r>
    <w:r>
      <w:rPr>
        <w:sz w:val="20"/>
      </w:rPr>
      <w:fldChar w:fldCharType="end"/>
    </w:r>
    <w:r>
      <w:rPr>
        <w:sz w:val="20"/>
      </w:rPr>
      <w:tab/>
      <w:t>School Business Manager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School Business Manager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School Business Manager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BS80060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BS80060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BS80060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2020-01-20T10:11:00Z</dcterms:created>
  <dc:creator>Aaron.Rullow@bolton.gov.uk</dc:creator>
  <dc:description/>
  <dc:language>en-US</dc:language>
  <cp:lastModifiedBy>Katie Hague</cp:lastModifiedBy>
  <cp:lastPrinted>1995-11-21T17:41:00Z</cp:lastPrinted>
  <dcterms:modified xsi:type="dcterms:W3CDTF">2020-02-11T16:27:00Z</dcterms:modified>
  <cp:revision>3</cp:revision>
  <dc:subject>Job; Description</dc:subject>
  <dc:title>Job Description and Person Specification - School Business Manager (Grade H) BS80060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386000</vt:i4>
  </property>
  <property fmtid="{D5CDD505-2E9C-101B-9397-08002B2CF9AE}" pid="9" name="ScaleCrop">
    <vt:bool>0</vt:bool>
  </property>
  <property fmtid="{D5CDD505-2E9C-101B-9397-08002B2CF9AE}" pid="10" name="ShareDoc">
    <vt:bool>0</vt:bool>
  </property>
  <property fmtid="{D5CDD505-2E9C-101B-9397-08002B2CF9AE}" pid="11" name="_CopySource">
    <vt:lpwstr>http://teamsites.bolton.gov.uk/sites/cs/PPR/HR/ExtranetHRHR/Job%20Description%20and%20Person%20Specification%20-%20School%20Business%20Manager%20(Grade%20H)%20BS80060.docx</vt:lpwstr>
  </property>
</Properties>
</file>