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CORPORATE RESOURCES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bCs/>
              </w:rPr>
            </w:pPr>
            <w:r>
              <w:rPr>
                <w:rFonts w:cs="Arial" w:ascii="Arial" w:hAnsi="Arial"/>
                <w:b/>
                <w:bCs/>
              </w:rPr>
              <w:t>SENIOR ESTATE SURVEYOR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J</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To lead and manage the delivery of high-quality estate management services across the Council’s operational and commercial property portfolio. The postholder will support the Estate Operations Manager in delivering strategic and operational objectives, ensuring compliance with statutory, legal, and governance requirements, and contributing to the Council’s financial, regeneration and property strategy goals.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Estate Operations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 xml:space="preserve">None </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Provide high-level professional oversight and guidance across estate management activities, including lease negotiations, end of tenancy matters, rent reviews, conducting regular site inspections, and property transactions.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Provide expert advice on all landlord and tenant matters, valuations and property management strategies. Support the delivery of services by applying expert knowledge to complex cases, ensuring consistency, quality, and compliance with relevant standards.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Act as a point of reference for the team, helping to resolve technical queries and contributing to the continuous improvement of estate management practices.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Take a lead role in managing complex case instructions and enquiries within the estates team, ensuring timely and effective resolution.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Proactively liaise with internal and external stakeholders to ensure clear, consistent updates on case progress and outcomes. Step into enquiries when needed to support colleagues, offering professional guidance and contributing to the overall performance and resilience of the team.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Support the delivery of the Council’s asset management and disposal programmes.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Ensure compliance with RICS standards and Council policies in all property dealings.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Lead on complex negotiations and provide professional input into regeneration and development projects.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Monitor and report on property performance, including income generation and cost control.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Contribute to the development of estate management policies and procedures.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Represent the Council in internal and external forums, including with partners and stakeholders.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Supervise and support junior staff, providing training and guidance, promoting knowledge sharing, teamwork, and professional growth.</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Deputise for the Estates Operations Manager as required.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Undertake any other duties that are appropriate to the grade and nature of the role, as required, to support the effective functioning of the service</w:t>
            </w:r>
          </w:p>
        </w:tc>
      </w:tr>
      <w:tr>
        <w:trPr>
          <w:trHeight w:val="478" w:hRule="atLeast"/>
        </w:trPr>
        <w:tc>
          <w:tcPr>
            <w:tcW w:w="4572" w:type="dxa"/>
            <w:gridSpan w:val="2"/>
            <w:tcBorders/>
            <w:shd w:fill="auto" w:val="clear"/>
          </w:tcPr>
          <w:p>
            <w:pPr>
              <w:pStyle w:val="Normal"/>
              <w:spacing w:lineRule="auto" w:line="240" w:before="0" w:after="0"/>
              <w:jc w:val="both"/>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jc w:val="both"/>
              <w:rPr>
                <w:rFonts w:ascii="Arial" w:hAnsi="Arial" w:cs="Arial"/>
                <w:b/>
                <w:b/>
              </w:rPr>
            </w:pPr>
            <w:r>
              <w:rPr>
                <w:rFonts w:cs="Arial" w:ascii="Arial" w:hAnsi="Arial"/>
                <w:b/>
              </w:rPr>
              <w:t>September 2025</w:t>
            </w:r>
          </w:p>
        </w:tc>
      </w:tr>
      <w:tr>
        <w:trPr/>
        <w:tc>
          <w:tcPr>
            <w:tcW w:w="4572" w:type="dxa"/>
            <w:gridSpan w:val="2"/>
            <w:tcBorders/>
            <w:shd w:fill="auto" w:val="clear"/>
          </w:tcPr>
          <w:p>
            <w:pPr>
              <w:pStyle w:val="Normal"/>
              <w:spacing w:lineRule="auto" w:line="240" w:before="0" w:after="0"/>
              <w:jc w:val="both"/>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jc w:val="both"/>
              <w:rPr>
                <w:rFonts w:ascii="Arial" w:hAnsi="Arial" w:cs="Arial"/>
                <w:b/>
                <w:b/>
              </w:rPr>
            </w:pPr>
            <w:r>
              <w:rPr>
                <w:rFonts w:cs="Arial" w:ascii="Arial" w:hAnsi="Arial"/>
                <w:b/>
              </w:rPr>
              <w:t>Assistant Director Corporate Property</w:t>
            </w:r>
          </w:p>
        </w:tc>
      </w:tr>
    </w:tbl>
    <w:p>
      <w:pPr>
        <w:sectPr>
          <w:headerReference w:type="default" r:id="rId3"/>
          <w:footerReference w:type="default" r:id="rId4"/>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rPr>
          <w:b/>
          <w:b/>
          <w:bCs/>
          <w:sz w:val="40"/>
          <w:szCs w:val="40"/>
        </w:rPr>
      </w:pPr>
      <w:r>
        <w:rPr>
          <w:b/>
          <w:bCs/>
          <w:sz w:val="40"/>
          <w:szCs w:val="40"/>
        </w:rPr>
        <w:t>Person Specification</w:t>
      </w:r>
    </w:p>
    <w:tbl>
      <w:tblPr>
        <w:tblW w:w="10110" w:type="dxa"/>
        <w:jc w:val="left"/>
        <w:tblInd w:w="0" w:type="dxa"/>
        <w:tblCellMar>
          <w:top w:w="0" w:type="dxa"/>
          <w:left w:w="108" w:type="dxa"/>
          <w:bottom w:w="0" w:type="dxa"/>
          <w:right w:w="108" w:type="dxa"/>
        </w:tblCellMar>
      </w:tblPr>
      <w:tblGrid>
        <w:gridCol w:w="677"/>
        <w:gridCol w:w="34"/>
        <w:gridCol w:w="962"/>
        <w:gridCol w:w="141"/>
        <w:gridCol w:w="3997"/>
        <w:gridCol w:w="679"/>
        <w:gridCol w:w="19"/>
        <w:gridCol w:w="3591"/>
        <w:gridCol w:w="10"/>
      </w:tblGrid>
      <w:tr>
        <w:trPr/>
        <w:tc>
          <w:tcPr>
            <w:tcW w:w="1673"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427" w:type="dxa"/>
            <w:gridSpan w:val="5"/>
            <w:tcBorders/>
            <w:shd w:fill="auto" w:val="clear"/>
          </w:tcPr>
          <w:p>
            <w:pPr>
              <w:pStyle w:val="Normal"/>
              <w:spacing w:lineRule="auto" w:line="240" w:before="60" w:after="60"/>
              <w:rPr>
                <w:rFonts w:ascii="Arial" w:hAnsi="Arial" w:cs="Arial"/>
                <w:b/>
                <w:b/>
                <w:caps/>
              </w:rPr>
            </w:pPr>
            <w:r>
              <w:rPr>
                <w:rFonts w:cs="Arial" w:ascii="Arial" w:hAnsi="Arial"/>
                <w:b/>
                <w:caps/>
              </w:rPr>
              <w:t>CORPORATE RESOURCES</w:t>
            </w:r>
          </w:p>
        </w:tc>
      </w:tr>
      <w:tr>
        <w:trPr/>
        <w:tc>
          <w:tcPr>
            <w:tcW w:w="1673"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427"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Senior Estate surveyor</w:t>
            </w:r>
          </w:p>
        </w:tc>
      </w:tr>
      <w:tr>
        <w:trPr/>
        <w:tc>
          <w:tcPr>
            <w:tcW w:w="1673"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437"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509"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601"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77"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9433" w:type="dxa"/>
            <w:gridSpan w:val="7"/>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77"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832" w:type="dxa"/>
            <w:gridSpan w:val="6"/>
            <w:tcBorders>
              <w:top w:val="single" w:sz="4" w:space="0" w:color="000000"/>
              <w:bottom w:val="single" w:sz="4" w:space="0" w:color="000000"/>
            </w:tcBorders>
            <w:shd w:fill="auto" w:val="clear"/>
          </w:tcPr>
          <w:p>
            <w:pPr>
              <w:pStyle w:val="Normal"/>
              <w:spacing w:lineRule="auto" w:line="240" w:before="120" w:after="120"/>
              <w:ind w:left="0" w:right="175" w:hanging="0"/>
              <w:jc w:val="both"/>
              <w:rPr>
                <w:rFonts w:ascii="Arial" w:hAnsi="Arial" w:cs="Arial"/>
              </w:rPr>
            </w:pPr>
            <w:r>
              <w:rPr>
                <w:rFonts w:cs="Arial" w:ascii="Arial" w:hAnsi="Arial"/>
              </w:rPr>
              <w:t>Extensive knowledge of property law, landlord and tenant legislation, and valuation principles.</w:t>
            </w:r>
          </w:p>
        </w:tc>
        <w:tc>
          <w:tcPr>
            <w:tcW w:w="36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7"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832" w:type="dxa"/>
            <w:gridSpan w:val="6"/>
            <w:tcBorders>
              <w:top w:val="single" w:sz="4" w:space="0" w:color="000000"/>
              <w:bottom w:val="single" w:sz="4" w:space="0" w:color="000000"/>
            </w:tcBorders>
            <w:shd w:fill="auto" w:val="clear"/>
          </w:tcPr>
          <w:p>
            <w:pPr>
              <w:pStyle w:val="Normal"/>
              <w:spacing w:lineRule="auto" w:line="240" w:before="120" w:after="120"/>
              <w:ind w:left="0" w:right="175" w:hanging="0"/>
              <w:jc w:val="both"/>
              <w:rPr>
                <w:rFonts w:ascii="Arial" w:hAnsi="Arial" w:cs="Arial"/>
              </w:rPr>
            </w:pPr>
            <w:r>
              <w:rPr>
                <w:rFonts w:cs="Arial" w:ascii="Arial" w:hAnsi="Arial"/>
              </w:rPr>
              <w:t>Proven leadership and strategic planning skills within a complex public sector environment.</w:t>
            </w:r>
          </w:p>
        </w:tc>
        <w:tc>
          <w:tcPr>
            <w:tcW w:w="36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7"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832" w:type="dxa"/>
            <w:gridSpan w:val="6"/>
            <w:tcBorders>
              <w:top w:val="single" w:sz="4" w:space="0" w:color="000000"/>
              <w:bottom w:val="single" w:sz="4" w:space="0" w:color="000000"/>
            </w:tcBorders>
            <w:shd w:fill="auto" w:val="clear"/>
          </w:tcPr>
          <w:p>
            <w:pPr>
              <w:pStyle w:val="Normal"/>
              <w:spacing w:lineRule="auto" w:line="240" w:before="120" w:after="120"/>
              <w:ind w:left="0" w:right="175" w:hanging="0"/>
              <w:jc w:val="both"/>
              <w:rPr>
                <w:rFonts w:ascii="Arial" w:hAnsi="Arial" w:cs="Arial"/>
              </w:rPr>
            </w:pPr>
            <w:r>
              <w:rPr>
                <w:rFonts w:cs="Arial" w:ascii="Arial" w:hAnsi="Arial"/>
              </w:rPr>
              <w:t>Ability to manage high-value projects and budgets with accountability and transparency.</w:t>
            </w:r>
          </w:p>
        </w:tc>
        <w:tc>
          <w:tcPr>
            <w:tcW w:w="36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7"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832" w:type="dxa"/>
            <w:gridSpan w:val="6"/>
            <w:tcBorders>
              <w:bottom w:val="single" w:sz="4" w:space="0" w:color="000000"/>
            </w:tcBorders>
            <w:shd w:fill="auto" w:val="clear"/>
          </w:tcPr>
          <w:p>
            <w:pPr>
              <w:pStyle w:val="Normal"/>
              <w:spacing w:lineRule="auto" w:line="240" w:before="120" w:after="120"/>
              <w:ind w:left="0" w:right="175" w:hanging="0"/>
              <w:jc w:val="both"/>
              <w:rPr>
                <w:rFonts w:ascii="Arial" w:hAnsi="Arial" w:cs="Arial"/>
              </w:rPr>
            </w:pPr>
            <w:r>
              <w:rPr>
                <w:rFonts w:cs="Arial" w:ascii="Arial" w:hAnsi="Arial"/>
              </w:rPr>
              <w:t>Strong stakeholder engagement and negotiation skills, including with senior officials, developers, and external partners.</w:t>
            </w:r>
          </w:p>
        </w:tc>
        <w:tc>
          <w:tcPr>
            <w:tcW w:w="3601"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7"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832" w:type="dxa"/>
            <w:gridSpan w:val="6"/>
            <w:tcBorders>
              <w:bottom w:val="single" w:sz="4" w:space="0" w:color="000000"/>
            </w:tcBorders>
            <w:shd w:fill="auto" w:val="clear"/>
          </w:tcPr>
          <w:p>
            <w:pPr>
              <w:pStyle w:val="Normal"/>
              <w:spacing w:lineRule="auto" w:line="240" w:before="120" w:after="120"/>
              <w:ind w:left="0" w:right="175" w:hanging="0"/>
              <w:jc w:val="both"/>
              <w:rPr>
                <w:rFonts w:ascii="Arial" w:hAnsi="Arial" w:cs="Arial"/>
              </w:rPr>
            </w:pPr>
            <w:r>
              <w:rPr>
                <w:rFonts w:cs="Arial" w:ascii="Arial" w:hAnsi="Arial"/>
              </w:rPr>
              <w:t>Chartered Surveyor status (MRICS) with significant post-qualification experience and evidence of continuing professional development.</w:t>
            </w:r>
          </w:p>
        </w:tc>
        <w:tc>
          <w:tcPr>
            <w:tcW w:w="3601"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7" w:type="dxa"/>
            <w:tcBorders>
              <w:left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832" w:type="dxa"/>
            <w:gridSpan w:val="6"/>
            <w:tcBorders/>
            <w:shd w:fill="auto" w:val="clear"/>
          </w:tcPr>
          <w:p>
            <w:pPr>
              <w:pStyle w:val="Normal"/>
              <w:spacing w:lineRule="auto" w:line="240" w:before="120" w:after="120"/>
              <w:ind w:left="0" w:right="175" w:hanging="0"/>
              <w:jc w:val="both"/>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601"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10110"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711"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779" w:type="dxa"/>
            <w:gridSpan w:val="4"/>
            <w:tcBorders>
              <w:top w:val="single" w:sz="4" w:space="0" w:color="000000"/>
              <w:bottom w:val="single" w:sz="4" w:space="0" w:color="000000"/>
            </w:tcBorders>
            <w:shd w:fill="auto" w:val="clear"/>
          </w:tcPr>
          <w:p>
            <w:pPr>
              <w:pStyle w:val="Normal"/>
              <w:spacing w:lineRule="auto" w:line="240" w:before="120" w:after="120"/>
              <w:jc w:val="both"/>
              <w:rPr>
                <w:rFonts w:ascii="Arial" w:hAnsi="Arial" w:cs="Arial"/>
              </w:rPr>
            </w:pPr>
            <w:r>
              <w:rPr>
                <w:rFonts w:cs="Arial" w:ascii="Arial" w:hAnsi="Arial"/>
              </w:rPr>
              <w:t xml:space="preserve">Degree in Estate Management or related discipline </w:t>
            </w:r>
          </w:p>
        </w:tc>
        <w:tc>
          <w:tcPr>
            <w:tcW w:w="362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711"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779" w:type="dxa"/>
            <w:gridSpan w:val="4"/>
            <w:tcBorders>
              <w:top w:val="single" w:sz="4" w:space="0" w:color="000000"/>
              <w:bottom w:val="single" w:sz="4" w:space="0" w:color="000000"/>
            </w:tcBorders>
            <w:shd w:fill="auto" w:val="clear"/>
          </w:tcPr>
          <w:p>
            <w:pPr>
              <w:pStyle w:val="Normal"/>
              <w:spacing w:lineRule="auto" w:line="240" w:before="120" w:after="120"/>
              <w:jc w:val="both"/>
              <w:rPr>
                <w:rFonts w:ascii="Arial" w:hAnsi="Arial" w:cs="Arial"/>
              </w:rPr>
            </w:pPr>
            <w:r>
              <w:rPr>
                <w:rFonts w:cs="Arial" w:ascii="Arial" w:hAnsi="Arial"/>
              </w:rPr>
              <w:t xml:space="preserve">Member of the Royal Institution of Chartered Surveyors (MRICS) – General Practice </w:t>
            </w:r>
          </w:p>
        </w:tc>
        <w:tc>
          <w:tcPr>
            <w:tcW w:w="362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711"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779" w:type="dxa"/>
            <w:gridSpan w:val="4"/>
            <w:tcBorders>
              <w:top w:val="single" w:sz="4" w:space="0" w:color="000000"/>
              <w:bottom w:val="single" w:sz="4" w:space="0" w:color="000000"/>
            </w:tcBorders>
            <w:shd w:fill="auto" w:val="clear"/>
          </w:tcPr>
          <w:p>
            <w:pPr>
              <w:pStyle w:val="Normal"/>
              <w:spacing w:lineRule="auto" w:line="240" w:before="120" w:after="120"/>
              <w:jc w:val="both"/>
              <w:rPr>
                <w:rFonts w:ascii="Arial" w:hAnsi="Arial" w:cs="Arial"/>
              </w:rPr>
            </w:pPr>
            <w:r>
              <w:rPr>
                <w:rFonts w:cs="Arial" w:ascii="Arial" w:hAnsi="Arial"/>
              </w:rPr>
              <w:t xml:space="preserve">Evidence of continuing professional development </w:t>
            </w:r>
          </w:p>
        </w:tc>
        <w:tc>
          <w:tcPr>
            <w:tcW w:w="362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10110"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711"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779" w:type="dxa"/>
            <w:gridSpan w:val="4"/>
            <w:tcBorders>
              <w:top w:val="single" w:sz="4" w:space="0" w:color="000000"/>
              <w:bottom w:val="single" w:sz="4" w:space="0" w:color="000000"/>
            </w:tcBorders>
            <w:shd w:fill="auto" w:val="clear"/>
          </w:tcPr>
          <w:p>
            <w:pPr>
              <w:pStyle w:val="Normal"/>
              <w:spacing w:lineRule="auto" w:line="240" w:before="120" w:after="120"/>
              <w:jc w:val="both"/>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62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711"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779" w:type="dxa"/>
            <w:gridSpan w:val="4"/>
            <w:tcBorders>
              <w:top w:val="single" w:sz="4" w:space="0" w:color="000000"/>
              <w:bottom w:val="single" w:sz="4" w:space="0" w:color="000000"/>
            </w:tcBorders>
            <w:shd w:fill="auto" w:val="clear"/>
          </w:tcPr>
          <w:p>
            <w:pPr>
              <w:pStyle w:val="Normal"/>
              <w:spacing w:lineRule="auto" w:line="240" w:before="120" w:after="120"/>
              <w:jc w:val="both"/>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62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711"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779" w:type="dxa"/>
            <w:gridSpan w:val="4"/>
            <w:tcBorders>
              <w:top w:val="single" w:sz="4" w:space="0" w:color="000000"/>
              <w:bottom w:val="single" w:sz="4" w:space="0" w:color="000000"/>
            </w:tcBorders>
            <w:shd w:fill="auto" w:val="clear"/>
          </w:tcPr>
          <w:p>
            <w:pPr>
              <w:pStyle w:val="Normal"/>
              <w:spacing w:lineRule="auto" w:line="240" w:before="120" w:after="120"/>
              <w:jc w:val="both"/>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62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711"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779" w:type="dxa"/>
            <w:gridSpan w:val="4"/>
            <w:tcBorders>
              <w:top w:val="single" w:sz="4" w:space="0" w:color="000000"/>
              <w:bottom w:val="single" w:sz="4" w:space="0" w:color="000000"/>
            </w:tcBorders>
            <w:shd w:fill="auto" w:val="clear"/>
          </w:tcPr>
          <w:p>
            <w:pPr>
              <w:pStyle w:val="Normal"/>
              <w:spacing w:lineRule="auto" w:line="240" w:before="120" w:after="120"/>
              <w:jc w:val="both"/>
              <w:rPr>
                <w:rFonts w:ascii="Arial" w:hAnsi="Arial" w:cs="Arial"/>
              </w:rPr>
            </w:pPr>
            <w:r>
              <w:rPr>
                <w:rFonts w:cs="Arial" w:ascii="Arial" w:hAnsi="Arial"/>
              </w:rPr>
              <w:t>Posts that are designated as Information Asset Owners will  be expected to lead and foster a culture that values, protects and uses information for the public good.  They must know what information the asset holds, what enters and leaves it and why,  being responsible for maintaining this overview within the Councils Information Asset Register. The IAO will also need to know who has access and why and ensure their use of the asset is monitored and used for service delivery and performance management, understand and address risks to the asset and provide assurance to the SIRO/ DSIRO. Ultimately, the IAO must ensure the asset is fully used for the public good, including responding to access requests, audits and transparency /open data requests.</w:t>
            </w:r>
          </w:p>
        </w:tc>
        <w:tc>
          <w:tcPr>
            <w:tcW w:w="362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814"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8296"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509" w:type="dxa"/>
            <w:gridSpan w:val="7"/>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601" w:type="dxa"/>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10110"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10110"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832"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Registered Valuer </w:t>
            </w:r>
          </w:p>
        </w:tc>
        <w:tc>
          <w:tcPr>
            <w:tcW w:w="36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 / Interview / Certification </w:t>
            </w:r>
          </w:p>
        </w:tc>
      </w:tr>
      <w:tr>
        <w:trPr/>
        <w:tc>
          <w:tcPr>
            <w:tcW w:w="5811"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w:t>
            </w:r>
          </w:p>
        </w:tc>
        <w:tc>
          <w:tcPr>
            <w:tcW w:w="4289" w:type="dxa"/>
            <w:gridSpan w:val="3"/>
            <w:tcBorders/>
            <w:shd w:fill="auto" w:val="clear"/>
          </w:tcPr>
          <w:p>
            <w:pPr>
              <w:pStyle w:val="Normal"/>
              <w:snapToGrid w:val="false"/>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
                <w:b/>
              </w:rPr>
            </w:pPr>
            <w:r>
              <w:rPr>
                <w:rFonts w:cs="Arial" w:ascii="Arial" w:hAnsi="Arial"/>
                <w:b/>
              </w:rPr>
              <w:t>September 2025</w:t>
            </w:r>
          </w:p>
        </w:tc>
      </w:tr>
      <w:tr>
        <w:trPr/>
        <w:tc>
          <w:tcPr>
            <w:tcW w:w="5811"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4289" w:type="dxa"/>
            <w:gridSpan w:val="3"/>
            <w:tcBorders/>
            <w:shd w:fill="auto" w:val="clear"/>
          </w:tcPr>
          <w:p>
            <w:pPr>
              <w:pStyle w:val="Normal"/>
              <w:spacing w:lineRule="auto" w:line="240" w:before="0" w:after="0"/>
              <w:rPr>
                <w:rFonts w:ascii="Arial" w:hAnsi="Arial" w:cs="Arial"/>
                <w:b/>
                <w:b/>
              </w:rPr>
            </w:pPr>
            <w:r>
              <w:rPr>
                <w:rFonts w:cs="Arial" w:ascii="Arial" w:hAnsi="Arial"/>
                <w:b/>
              </w:rPr>
              <w:t>Assistant Director Corporate Property</w:t>
            </w:r>
          </w:p>
        </w:tc>
      </w:tr>
    </w:tbl>
    <w:p>
      <w:pPr>
        <w:pStyle w:val="Normal"/>
        <w:spacing w:lineRule="auto" w:line="240" w:before="0" w:after="0"/>
        <w:rPr>
          <w:rFonts w:ascii="Arial" w:hAnsi="Arial" w:cs="Arial"/>
          <w:b/>
          <w:b/>
        </w:rPr>
      </w:pPr>
      <w:r>
        <w:rPr>
          <w:rFonts w:cs="Arial" w:ascii="Arial" w:hAnsi="Arial"/>
          <w:b/>
        </w:rPr>
      </w:r>
    </w:p>
    <w:p>
      <w:pPr>
        <w:sectPr>
          <w:headerReference w:type="default" r:id="rId5"/>
          <w:footerReference w:type="default" r:id="rId6"/>
          <w:type w:val="nextPage"/>
          <w:pgSz w:w="11906" w:h="16838"/>
          <w:pgMar w:left="1134" w:right="1134" w:header="709" w:top="1361" w:footer="709" w:bottom="1134" w:gutter="0"/>
          <w:pgNumType w:fmt="decimal"/>
          <w:formProt w:val="false"/>
          <w:textDirection w:val="lrTb"/>
          <w:docGrid w:type="default" w:linePitch="360" w:charSpace="4096"/>
        </w:sect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jc w:val="both"/>
        <w:rPr>
          <w:rFonts w:ascii="Arial" w:hAnsi="Arial" w:cs="Arial"/>
          <w:b/>
          <w:b/>
        </w:rPr>
      </w:pPr>
      <w:r>
        <w:rPr>
          <w:rFonts w:cs="Arial" w:ascii="Arial" w:hAnsi="Arial"/>
          <w:b/>
        </w:rPr>
      </w:r>
    </w:p>
    <w:p>
      <w:pPr>
        <w:pStyle w:val="Normal"/>
        <w:keepLines/>
        <w:spacing w:lineRule="auto" w:line="240" w:before="0" w:after="0"/>
        <w:jc w:val="both"/>
        <w:rPr>
          <w:rFonts w:ascii="Arial" w:hAnsi="Arial" w:cs="Arial"/>
          <w:b/>
          <w:b/>
        </w:rPr>
      </w:pPr>
      <w:r>
        <w:rPr>
          <w:rFonts w:cs="Arial" w:ascii="Arial" w:hAnsi="Arial"/>
          <w:b/>
        </w:rPr>
        <w:t>Developing Self &amp; Others</w:t>
      </w:r>
    </w:p>
    <w:p>
      <w:pPr>
        <w:pStyle w:val="Normal"/>
        <w:spacing w:lineRule="auto" w:line="240" w:before="0" w:after="0"/>
        <w:jc w:val="both"/>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Civil Contingencies</w:t>
      </w:r>
    </w:p>
    <w:p>
      <w:pPr>
        <w:pStyle w:val="Normal"/>
        <w:spacing w:lineRule="auto" w:line="240" w:before="0" w:after="0"/>
        <w:jc w:val="both"/>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Equality &amp; Diversity</w:t>
      </w:r>
    </w:p>
    <w:p>
      <w:pPr>
        <w:pStyle w:val="Normal"/>
        <w:spacing w:lineRule="auto" w:line="240" w:before="0" w:after="0"/>
        <w:jc w:val="both"/>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Customer Care</w:t>
      </w:r>
    </w:p>
    <w:p>
      <w:pPr>
        <w:pStyle w:val="Normal"/>
        <w:spacing w:lineRule="auto" w:line="240" w:before="0" w:after="0"/>
        <w:jc w:val="both"/>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jc w:val="both"/>
        <w:rPr>
          <w:rFonts w:ascii="Arial" w:hAnsi="Arial" w:cs="Arial"/>
          <w:color w:val="0000FF"/>
          <w:u w:val="single"/>
        </w:rPr>
      </w:pPr>
      <w:r>
        <w:rPr>
          <w:rFonts w:cs="Arial" w:ascii="Arial" w:hAnsi="Arial"/>
          <w:color w:val="0000FF"/>
          <w:u w:val="single"/>
        </w:rPr>
      </w:r>
    </w:p>
    <w:p>
      <w:pPr>
        <w:pStyle w:val="Normal"/>
        <w:keepLines/>
        <w:spacing w:lineRule="auto" w:line="240" w:before="0" w:after="0"/>
        <w:jc w:val="both"/>
        <w:rPr>
          <w:rFonts w:ascii="Arial" w:hAnsi="Arial" w:cs="Arial"/>
          <w:b/>
          <w:b/>
        </w:rPr>
      </w:pPr>
      <w:r>
        <w:rPr>
          <w:rFonts w:cs="Arial" w:ascii="Arial" w:hAnsi="Arial"/>
          <w:b/>
        </w:rPr>
        <w:t>Health &amp; Safety</w:t>
      </w:r>
    </w:p>
    <w:p>
      <w:pPr>
        <w:pStyle w:val="Normal"/>
        <w:spacing w:lineRule="auto" w:line="240" w:before="0" w:after="0"/>
        <w:jc w:val="both"/>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rPr>
      </w:pPr>
      <w:r>
        <w:rPr>
          <w:rFonts w:cs="Arial" w:ascii="Arial" w:hAnsi="Arial"/>
          <w:b/>
          <w:bCs/>
        </w:rPr>
        <w:t>Data Protection and Confidentiality</w:t>
      </w:r>
    </w:p>
    <w:p>
      <w:pPr>
        <w:pStyle w:val="Normal"/>
        <w:spacing w:lineRule="auto" w:line="240" w:before="0" w:after="0"/>
        <w:jc w:val="both"/>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lang w:val="en-US"/>
        </w:rPr>
      </w:pPr>
      <w:r>
        <w:rPr>
          <w:rFonts w:cs="Arial" w:ascii="Arial" w:hAnsi="Arial"/>
          <w:b/>
          <w:lang w:val="en-US"/>
        </w:rPr>
        <w:t>Fluency Duty</w:t>
      </w:r>
    </w:p>
    <w:p>
      <w:pPr>
        <w:pStyle w:val="Normal"/>
        <w:spacing w:lineRule="auto" w:line="240" w:before="0" w:after="0"/>
        <w:jc w:val="both"/>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jc w:val="both"/>
        <w:rPr>
          <w:rFonts w:ascii="Arial" w:hAnsi="Arial" w:cs="Arial"/>
          <w:lang w:val="en-US"/>
        </w:rPr>
      </w:pPr>
      <w:r>
        <w:rPr>
          <w:rFonts w:cs="Arial" w:ascii="Arial" w:hAnsi="Arial"/>
          <w:lang w:val="en-US"/>
        </w:rPr>
      </w:r>
    </w:p>
    <w:p>
      <w:pPr>
        <w:pStyle w:val="Normal"/>
        <w:spacing w:lineRule="auto" w:line="240" w:before="0" w:after="0"/>
        <w:jc w:val="both"/>
        <w:rPr>
          <w:rFonts w:ascii="Arial" w:hAnsi="Arial" w:cs="Arial"/>
          <w:b/>
          <w:b/>
        </w:rPr>
      </w:pPr>
      <w:r>
        <w:rPr>
          <w:rFonts w:cs="Arial" w:ascii="Arial" w:hAnsi="Arial"/>
          <w:b/>
        </w:rPr>
        <w:t>Working Hours</w:t>
      </w:r>
    </w:p>
    <w:p>
      <w:pPr>
        <w:pStyle w:val="Normal"/>
        <w:spacing w:lineRule="auto" w:line="240" w:before="0" w:after="0"/>
        <w:jc w:val="both"/>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iCs/>
        </w:rPr>
      </w:pPr>
      <w:r>
        <w:rPr>
          <w:rFonts w:cs="Arial" w:ascii="Arial" w:hAnsi="Arial"/>
          <w:b/>
          <w:bCs/>
          <w:iCs/>
        </w:rPr>
        <w:t>Safeguarding</w:t>
      </w:r>
    </w:p>
    <w:p>
      <w:pPr>
        <w:sectPr>
          <w:headerReference w:type="default" r:id="rId7"/>
          <w:footerReference w:type="default" r:id="rId8"/>
          <w:type w:val="nextPage"/>
          <w:pgSz w:w="11906" w:h="16838"/>
          <w:pgMar w:left="1134" w:right="1134" w:header="709" w:top="1361" w:footer="709" w:bottom="1134" w:gutter="0"/>
          <w:pgNumType w:fmt="decimal"/>
          <w:formProt w:val="false"/>
          <w:textDirection w:val="lrTb"/>
          <w:docGrid w:type="default" w:linePitch="360" w:charSpace="4096"/>
        </w:sectPr>
        <w:pStyle w:val="Normal"/>
        <w:jc w:val="both"/>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jc w:val="both"/>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9"/>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0"/>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1"/>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2"/>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3"/>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14"/>
      <w:footerReference w:type="default" r:id="rId15"/>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September 2025</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September 2025</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September 2025</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September 2025</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2026-06-29T10:37:00Z</dcterms:created>
  <dc:creator>Johnson, Andrew</dc:creator>
  <dc:description/>
  <dc:language>en-US</dc:language>
  <cp:lastModifiedBy>Howells, Mark</cp:lastModifiedBy>
  <cp:lastPrinted>1995-11-21T17:41:00Z</cp:lastPrinted>
  <dcterms:modified xsi:type="dcterms:W3CDTF">2026-06-29T10:37:00Z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Bolton_x0020_Document_x0020_Type">
    <vt:lpwstr>95;#Templates|db1bba78-799d-4873-a494-686ebe9dc4a8</vt:lpwstr>
  </property>
  <property fmtid="{D5CDD505-2E9C-101B-9397-08002B2CF9AE}" pid="5" name="ContentTypeId">
    <vt:lpwstr>0x0101005D63A5E65AB5CC46856A0F40216874E2</vt:lpwstr>
  </property>
  <property fmtid="{D5CDD505-2E9C-101B-9397-08002B2CF9AE}" pid="6" name="DocSecurity">
    <vt:i4>0</vt:i4>
  </property>
  <property fmtid="{D5CDD505-2E9C-101B-9397-08002B2CF9AE}" pid="7" name="Function">
    <vt:lpwstr>21;#Human Resources|ad161ebb-ba4f-462c-bc0e-044fa3792e1e</vt:lpwstr>
  </property>
  <property fmtid="{D5CDD505-2E9C-101B-9397-08002B2CF9AE}" pid="8" name="HyperlinksChanged">
    <vt:bool>0</vt:bool>
  </property>
  <property fmtid="{D5CDD505-2E9C-101B-9397-08002B2CF9AE}" pid="9" name="LinksUpToDate">
    <vt:bool>0</vt:bool>
  </property>
  <property fmtid="{D5CDD505-2E9C-101B-9397-08002B2CF9AE}" pid="10" name="Order">
    <vt:i4>27600</vt:i4>
  </property>
  <property fmtid="{D5CDD505-2E9C-101B-9397-08002B2CF9AE}" pid="11" name="ScaleCrop">
    <vt:bool>0</vt:bool>
  </property>
  <property fmtid="{D5CDD505-2E9C-101B-9397-08002B2CF9AE}" pid="12" name="ShareDoc">
    <vt:bool>0</vt:bool>
  </property>
  <property fmtid="{D5CDD505-2E9C-101B-9397-08002B2CF9AE}" pid="13" name="Topic">
    <vt:lpwstr>6;#Workplace|0eca40e7-1b69-41ab-b4d3-fcac60499f36</vt:lpwstr>
  </property>
  <property fmtid="{D5CDD505-2E9C-101B-9397-08002B2CF9AE}" pid="14" name="docLang">
    <vt:lpwstr>en</vt:lpwstr>
  </property>
  <property fmtid="{D5CDD505-2E9C-101B-9397-08002B2CF9AE}" pid="15" name="xd_Signature">
    <vt:bool>0</vt:bool>
  </property>
</Properties>
</file>