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jc w:val="center"/>
        <w:rPr>
          <w:rFonts w:cs="Calibri"/>
          <w:b/>
          <w:sz w:val="28"/>
          <w:szCs w:val="28"/>
        </w:rPr>
      </w:pPr>
      <w:r>
        <w:rPr>
          <w:rFonts w:cs="Calibri"/>
          <w:b/>
          <w:sz w:val="28"/>
          <w:szCs w:val="28"/>
        </w:rPr>
      </w:r>
    </w:p>
    <w:p>
      <w:pPr>
        <w:pStyle w:val="Normal"/>
        <w:widowControl w:val="false"/>
        <w:jc w:val="center"/>
        <w:rPr>
          <w:b/>
          <w:sz w:val="28"/>
          <w:szCs w:val="28"/>
        </w:rPr>
      </w:pPr>
      <w:r>
        <w:rPr/>
        <w:drawing>
          <wp:inline distT="0" distB="0" distL="0" distR="0">
            <wp:extent cx="1123315" cy="95377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32" t="-37" r="-32" b="-37"/>
                    <a:stretch>
                      <a:fillRect/>
                    </a:stretch>
                  </pic:blipFill>
                  <pic:spPr bwMode="auto">
                    <a:xfrm>
                      <a:off x="0" y="0"/>
                      <a:ext cx="1123315" cy="953770"/>
                    </a:xfrm>
                    <a:prstGeom prst="rect">
                      <a:avLst/>
                    </a:prstGeom>
                  </pic:spPr>
                </pic:pic>
              </a:graphicData>
            </a:graphic>
          </wp:inline>
        </w:drawing>
      </w:r>
    </w:p>
    <w:p>
      <w:pPr>
        <w:pStyle w:val="Normal"/>
        <w:jc w:val="center"/>
        <w:rPr/>
      </w:pPr>
      <w:r>
        <w:rPr>
          <w:b/>
          <w:sz w:val="28"/>
          <w:szCs w:val="28"/>
        </w:rPr>
        <w:t>Teacher of Deaf children</w:t>
      </w:r>
      <w:r>
        <w:rPr>
          <w:rFonts w:cs="Calibri"/>
          <w:b/>
          <w:sz w:val="28"/>
          <w:szCs w:val="28"/>
        </w:rPr>
        <w:t xml:space="preserve"> – Primary Phase</w:t>
      </w:r>
    </w:p>
    <w:p>
      <w:pPr>
        <w:pStyle w:val="Normal"/>
        <w:jc w:val="center"/>
        <w:rPr>
          <w:rFonts w:cs="Calibri"/>
          <w:b/>
          <w:sz w:val="28"/>
          <w:szCs w:val="28"/>
        </w:rPr>
      </w:pPr>
      <w:r>
        <w:rPr>
          <w:rFonts w:cs="Calibri"/>
          <w:b/>
          <w:sz w:val="28"/>
          <w:szCs w:val="28"/>
        </w:rPr>
        <w:t>Job description</w:t>
      </w:r>
    </w:p>
    <w:p>
      <w:pPr>
        <w:pStyle w:val="Normal"/>
        <w:jc w:val="center"/>
        <w:rPr>
          <w:b/>
        </w:rPr>
      </w:pPr>
      <w:r>
        <w:rPr>
          <w:b/>
        </w:rPr>
      </w:r>
    </w:p>
    <w:p>
      <w:pPr>
        <w:pStyle w:val="Default"/>
        <w:rPr/>
      </w:pPr>
      <w:r>
        <w:rPr>
          <w:rFonts w:cs="Calibri" w:ascii="Calibri" w:hAnsi="Calibri"/>
          <w:b/>
          <w:bCs/>
        </w:rPr>
        <w:t>Salary</w:t>
      </w:r>
      <w:r>
        <w:rPr>
          <w:rFonts w:cs="Calibri" w:ascii="Calibri" w:hAnsi="Calibri"/>
        </w:rPr>
        <w:t>: MPS/UPS + 1 or 2 SEN points dependant on ToD qualification</w:t>
      </w:r>
    </w:p>
    <w:p>
      <w:pPr>
        <w:pStyle w:val="Default"/>
        <w:rPr>
          <w:rFonts w:ascii="Calibri" w:hAnsi="Calibri" w:cs="Calibri"/>
          <w:b/>
          <w:bCs/>
        </w:rPr>
      </w:pPr>
      <w:r>
        <w:rPr>
          <w:rFonts w:cs="Calibri" w:ascii="Calibri" w:hAnsi="Calibri"/>
          <w:b/>
          <w:bCs/>
        </w:rPr>
      </w:r>
    </w:p>
    <w:p>
      <w:pPr>
        <w:pStyle w:val="Default"/>
        <w:rPr/>
      </w:pPr>
      <w:r>
        <w:rPr>
          <w:rFonts w:cs="Calibri" w:ascii="Calibri" w:hAnsi="Calibri"/>
          <w:b/>
          <w:bCs/>
        </w:rPr>
        <w:t xml:space="preserve">Purpose of the Job: </w:t>
      </w:r>
      <w:r>
        <w:rPr>
          <w:rFonts w:cs="Calibri" w:ascii="Calibri" w:hAnsi="Calibri"/>
        </w:rPr>
        <w:t xml:space="preserve">To teach pupils within the school and to carry out such other associated duties as are reasonably assigned by the Headteacher. </w:t>
      </w:r>
    </w:p>
    <w:p>
      <w:pPr>
        <w:pStyle w:val="Normal"/>
        <w:widowControl w:val="false"/>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eastAsia="Arial Unicode MS" w:cs="Calibri"/>
          <w:color w:val="000000"/>
          <w:u w:val="none" w:color="000000"/>
          <w:lang w:val="en-GB" w:eastAsia="en-GB"/>
        </w:rPr>
      </w:pPr>
      <w:r>
        <w:rPr>
          <w:rFonts w:eastAsia="Arial Unicode MS" w:cs="Calibri"/>
          <w:color w:val="000000"/>
          <w:u w:val="none" w:color="000000"/>
          <w:lang w:val="en-GB" w:eastAsia="en-GB"/>
        </w:rPr>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eastAsia="Arial Unicode MS" w:cs="Calibri"/>
          <w:b/>
          <w:color w:val="000000"/>
          <w:u w:val="none" w:color="000000"/>
          <w:lang w:val="en-GB" w:eastAsia="en-GB"/>
        </w:rPr>
      </w:pPr>
      <w:r>
        <w:rPr>
          <w:rFonts w:eastAsia="Arial Unicode MS" w:cs="Calibri"/>
          <w:b/>
          <w:color w:val="000000"/>
          <w:u w:val="none" w:color="000000"/>
          <w:lang w:val="en-GB" w:eastAsia="en-GB"/>
        </w:rPr>
        <w:t>MAIN RESPONSIBILTIES</w:t>
      </w:r>
    </w:p>
    <w:p>
      <w:pPr>
        <w:pStyle w:val="ListParagraph"/>
        <w:widowControl w:val="false"/>
        <w:numPr>
          <w:ilvl w:val="0"/>
          <w:numId w:val="12"/>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pPr>
      <w:r>
        <w:rPr>
          <w:rFonts w:eastAsia="Arial Unicode MS" w:cs="Calibri"/>
          <w:color w:val="000000"/>
          <w:u w:val="none" w:color="000000"/>
          <w:lang w:val="en-GB" w:eastAsia="en-GB"/>
        </w:rPr>
        <w:t>Teaching</w:t>
      </w:r>
    </w:p>
    <w:p>
      <w:pPr>
        <w:pStyle w:val="ListParagraph"/>
        <w:widowControl w:val="false"/>
        <w:numPr>
          <w:ilvl w:val="0"/>
          <w:numId w:val="2"/>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Ensure a safe and stimulating environment is created in classrooms and contribute to this environment across the school. </w:t>
      </w:r>
    </w:p>
    <w:p>
      <w:pPr>
        <w:pStyle w:val="ListParagraph"/>
        <w:widowControl w:val="false"/>
        <w:numPr>
          <w:ilvl w:val="0"/>
          <w:numId w:val="2"/>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Establish high expectations for pupils of all backgrounds, abilities and dispositions. </w:t>
      </w:r>
    </w:p>
    <w:p>
      <w:pPr>
        <w:pStyle w:val="ListParagraph"/>
        <w:widowControl w:val="false"/>
        <w:numPr>
          <w:ilvl w:val="0"/>
          <w:numId w:val="2"/>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Plan lessons that make effective use of time, motivate learners and build on previous knowledge.</w:t>
      </w:r>
    </w:p>
    <w:p>
      <w:pPr>
        <w:pStyle w:val="ListParagraph"/>
        <w:widowControl w:val="false"/>
        <w:numPr>
          <w:ilvl w:val="0"/>
          <w:numId w:val="2"/>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Promote children’s intellectual curiosity.</w:t>
      </w:r>
    </w:p>
    <w:p>
      <w:pPr>
        <w:pStyle w:val="ListParagraph"/>
        <w:widowControl w:val="false"/>
        <w:numPr>
          <w:ilvl w:val="0"/>
          <w:numId w:val="2"/>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Where appropriate, set homework and out-of-class activities. </w:t>
      </w:r>
    </w:p>
    <w:p>
      <w:pPr>
        <w:pStyle w:val="ListParagraph"/>
        <w:widowControl w:val="false"/>
        <w:numPr>
          <w:ilvl w:val="0"/>
          <w:numId w:val="2"/>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Act as a positive role model for pupils at all times.</w:t>
      </w:r>
    </w:p>
    <w:p>
      <w:pPr>
        <w:pStyle w:val="ListParagraph"/>
        <w:widowControl w:val="false"/>
        <w:numPr>
          <w:ilvl w:val="0"/>
          <w:numId w:val="2"/>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Have a good level of BSL  </w:t>
      </w:r>
    </w:p>
    <w:p>
      <w:pPr>
        <w:pStyle w:val="ListParagraph"/>
        <w:widowControl w:val="false"/>
        <w:numPr>
          <w:ilvl w:val="0"/>
          <w:numId w:val="2"/>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Use a total communication approach to taught sessions. </w:t>
      </w:r>
    </w:p>
    <w:p>
      <w:pPr>
        <w:pStyle w:val="ListParagraph"/>
        <w:widowControl w:val="false"/>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426" w:right="0"/>
        <w:rPr>
          <w:rFonts w:eastAsia="Arial Unicode MS" w:cs="Calibri"/>
          <w:color w:val="000000"/>
          <w:u w:val="none" w:color="000000"/>
          <w:lang w:val="en-GB" w:eastAsia="en-GB"/>
        </w:rPr>
      </w:pPr>
      <w:r>
        <w:rPr>
          <w:rFonts w:eastAsia="Arial Unicode MS" w:cs="Calibri"/>
          <w:color w:val="000000"/>
          <w:u w:val="none" w:color="000000"/>
          <w:lang w:val="en-GB" w:eastAsia="en-GB"/>
        </w:rPr>
      </w:r>
    </w:p>
    <w:p>
      <w:pPr>
        <w:pStyle w:val="ListParagraph"/>
        <w:widowControl w:val="false"/>
        <w:numPr>
          <w:ilvl w:val="0"/>
          <w:numId w:val="12"/>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Adapt teaching</w:t>
      </w:r>
    </w:p>
    <w:p>
      <w:pPr>
        <w:pStyle w:val="ListParagraph"/>
        <w:widowControl w:val="false"/>
        <w:numPr>
          <w:ilvl w:val="0"/>
          <w:numId w:val="5"/>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Use differentiation/adaptation appropriately to ensure all pupils reach high levels of attainment. </w:t>
      </w:r>
    </w:p>
    <w:p>
      <w:pPr>
        <w:pStyle w:val="ListParagraph"/>
        <w:widowControl w:val="false"/>
        <w:numPr>
          <w:ilvl w:val="0"/>
          <w:numId w:val="5"/>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Show a good understanding of the factors that help pupils learn and plan for these. </w:t>
      </w:r>
    </w:p>
    <w:p>
      <w:pPr>
        <w:pStyle w:val="ListParagraph"/>
        <w:widowControl w:val="false"/>
        <w:numPr>
          <w:ilvl w:val="0"/>
          <w:numId w:val="5"/>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Have specific knowledge about the factors that help and inhibit deaf learners and those with additional needs. </w:t>
      </w:r>
    </w:p>
    <w:p>
      <w:pPr>
        <w:pStyle w:val="ListParagraph"/>
        <w:widowControl w:val="false"/>
        <w:numPr>
          <w:ilvl w:val="0"/>
          <w:numId w:val="5"/>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Plan and teach lessons that are accessible to all learners including (but not limited to) those of high ability, those with English as an additional language, those with disabilities, those eligible for the pupil premium funding. </w:t>
      </w:r>
    </w:p>
    <w:p>
      <w:pPr>
        <w:pStyle w:val="ListParagraph"/>
        <w:widowControl w:val="false"/>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426" w:right="0"/>
        <w:rPr>
          <w:rFonts w:eastAsia="Arial Unicode MS" w:cs="Calibri"/>
          <w:color w:val="000000"/>
          <w:u w:val="none" w:color="000000"/>
          <w:lang w:val="en-GB" w:eastAsia="en-GB"/>
        </w:rPr>
      </w:pPr>
      <w:r>
        <w:rPr>
          <w:rFonts w:eastAsia="Arial Unicode MS" w:cs="Calibri"/>
          <w:color w:val="000000"/>
          <w:u w:val="none" w:color="000000"/>
          <w:lang w:val="en-GB" w:eastAsia="en-GB"/>
        </w:rPr>
      </w:r>
    </w:p>
    <w:p>
      <w:pPr>
        <w:pStyle w:val="ListParagraph"/>
        <w:widowControl w:val="false"/>
        <w:numPr>
          <w:ilvl w:val="0"/>
          <w:numId w:val="12"/>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Subject knowledge</w:t>
      </w:r>
    </w:p>
    <w:p>
      <w:pPr>
        <w:pStyle w:val="ListParagraph"/>
        <w:widowControl w:val="false"/>
        <w:numPr>
          <w:ilvl w:val="0"/>
          <w:numId w:val="4"/>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Have a secure knowledge of the content of the primary curriculum. </w:t>
      </w:r>
    </w:p>
    <w:p>
      <w:pPr>
        <w:pStyle w:val="ListParagraph"/>
        <w:widowControl w:val="false"/>
        <w:numPr>
          <w:ilvl w:val="0"/>
          <w:numId w:val="4"/>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Have an understanding of the curriculum of stages prior and after those taught. </w:t>
      </w:r>
    </w:p>
    <w:p>
      <w:pPr>
        <w:pStyle w:val="ListParagraph"/>
        <w:widowControl w:val="false"/>
        <w:numPr>
          <w:ilvl w:val="0"/>
          <w:numId w:val="4"/>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Have an excellent understanding of the correct use of Standard English and promote and model its use. </w:t>
      </w:r>
    </w:p>
    <w:p>
      <w:pPr>
        <w:pStyle w:val="ListParagraph"/>
        <w:widowControl w:val="false"/>
        <w:numPr>
          <w:ilvl w:val="0"/>
          <w:numId w:val="4"/>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Have a strong knowledge of phonics and strategies for developing early mathematical concepts.</w:t>
      </w:r>
    </w:p>
    <w:p>
      <w:pPr>
        <w:pStyle w:val="ListParagraph"/>
        <w:widowControl w:val="false"/>
        <w:numPr>
          <w:ilvl w:val="0"/>
          <w:numId w:val="4"/>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Adapt teaching to ensure that deaf pupils have full access to the primary curriculum. </w:t>
      </w:r>
    </w:p>
    <w:p>
      <w:pPr>
        <w:pStyle w:val="ListParagraph"/>
        <w:widowControl w:val="false"/>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426" w:right="0"/>
        <w:rPr>
          <w:rFonts w:eastAsia="Arial Unicode MS" w:cs="Calibri"/>
          <w:color w:val="000000"/>
          <w:highlight w:val="yellow"/>
          <w:u w:val="none" w:color="000000"/>
          <w:lang w:val="en-GB" w:eastAsia="en-GB"/>
        </w:rPr>
      </w:pPr>
      <w:r>
        <w:rPr>
          <w:rFonts w:eastAsia="Arial Unicode MS" w:cs="Calibri"/>
          <w:color w:val="000000"/>
          <w:highlight w:val="yellow"/>
          <w:u w:val="none" w:color="000000"/>
          <w:lang w:val="en-GB" w:eastAsia="en-GB"/>
        </w:rPr>
      </w:r>
    </w:p>
    <w:p>
      <w:pPr>
        <w:pStyle w:val="ListParagraph"/>
        <w:widowControl w:val="false"/>
        <w:numPr>
          <w:ilvl w:val="0"/>
          <w:numId w:val="12"/>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Promote good progress and outcomes.</w:t>
      </w:r>
    </w:p>
    <w:p>
      <w:pPr>
        <w:pStyle w:val="ListParagraph"/>
        <w:widowControl w:val="false"/>
        <w:numPr>
          <w:ilvl w:val="0"/>
          <w:numId w:val="3"/>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Be accountable for pupils’ attainment and progress, promoting high attainment for all, at all times. </w:t>
      </w:r>
    </w:p>
    <w:p>
      <w:pPr>
        <w:pStyle w:val="ListParagraph"/>
        <w:widowControl w:val="false"/>
        <w:numPr>
          <w:ilvl w:val="0"/>
          <w:numId w:val="3"/>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Develop lessons that build on pupils’ prior knowledge.</w:t>
      </w:r>
    </w:p>
    <w:p>
      <w:pPr>
        <w:pStyle w:val="ListParagraph"/>
        <w:widowControl w:val="false"/>
        <w:numPr>
          <w:ilvl w:val="0"/>
          <w:numId w:val="3"/>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Help pupils reflect on their own progress and instil in pupils a personal responsibility for their own learning. </w:t>
      </w:r>
    </w:p>
    <w:p>
      <w:pPr>
        <w:pStyle w:val="ListParagraph"/>
        <w:widowControl w:val="false"/>
        <w:numPr>
          <w:ilvl w:val="0"/>
          <w:numId w:val="3"/>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Have a good understanding of pedagogy and use this to plan lessons.</w:t>
      </w:r>
    </w:p>
    <w:p>
      <w:pPr>
        <w:pStyle w:val="Normal"/>
        <w:widowControl w:val="false"/>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eastAsia="Arial Unicode MS" w:cs="Calibri"/>
          <w:color w:val="000000"/>
          <w:u w:val="none" w:color="000000"/>
          <w:lang w:val="en-GB" w:eastAsia="en-GB"/>
        </w:rPr>
      </w:pPr>
      <w:r>
        <w:rPr>
          <w:rFonts w:eastAsia="Arial Unicode MS" w:cs="Calibri"/>
          <w:color w:val="000000"/>
          <w:u w:val="none" w:color="000000"/>
          <w:lang w:val="en-GB" w:eastAsia="en-GB"/>
        </w:rPr>
      </w:r>
    </w:p>
    <w:p>
      <w:pPr>
        <w:pStyle w:val="Normal"/>
        <w:widowControl w:val="false"/>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eastAsia="Arial Unicode MS" w:cs="Calibri"/>
          <w:color w:val="000000"/>
          <w:u w:val="none" w:color="000000"/>
          <w:lang w:val="en-GB" w:eastAsia="en-GB"/>
        </w:rPr>
      </w:pPr>
      <w:r>
        <w:rPr>
          <w:rFonts w:eastAsia="Arial Unicode MS" w:cs="Calibri"/>
          <w:color w:val="000000"/>
          <w:u w:val="none" w:color="000000"/>
          <w:lang w:val="en-GB" w:eastAsia="en-GB"/>
        </w:rPr>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eastAsia="Arial Unicode MS" w:cs="Calibri"/>
          <w:color w:val="000000"/>
          <w:u w:val="none" w:color="000000"/>
          <w:lang w:val="en-GB" w:eastAsia="en-GB"/>
        </w:rPr>
      </w:pPr>
      <w:r>
        <w:rPr>
          <w:rFonts w:eastAsia="Arial Unicode MS" w:cs="Calibri"/>
          <w:color w:val="000000"/>
          <w:u w:val="none" w:color="000000"/>
          <w:lang w:val="en-GB" w:eastAsia="en-GB"/>
        </w:rPr>
      </w:r>
    </w:p>
    <w:p>
      <w:pPr>
        <w:pStyle w:val="ListParagraph"/>
        <w:widowControl w:val="false"/>
        <w:numPr>
          <w:ilvl w:val="0"/>
          <w:numId w:val="4"/>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To lead a subject across the primary phase</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eastAsia="Arial Unicode MS" w:cs="Calibri"/>
          <w:color w:val="000000"/>
          <w:u w:val="none" w:color="000000"/>
          <w:lang w:val="en-GB" w:eastAsia="en-GB"/>
        </w:rPr>
      </w:pPr>
      <w:r>
        <w:rPr>
          <w:rFonts w:eastAsia="Arial Unicode MS" w:cs="Calibri"/>
          <w:color w:val="000000"/>
          <w:u w:val="none" w:color="000000"/>
          <w:lang w:val="en-GB" w:eastAsia="en-GB"/>
        </w:rPr>
      </w:r>
    </w:p>
    <w:p>
      <w:pPr>
        <w:pStyle w:val="ListParagraph"/>
        <w:widowControl w:val="false"/>
        <w:numPr>
          <w:ilvl w:val="0"/>
          <w:numId w:val="12"/>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Assessment</w:t>
      </w:r>
    </w:p>
    <w:p>
      <w:pPr>
        <w:pStyle w:val="ListParagraph"/>
        <w:widowControl w:val="false"/>
        <w:numPr>
          <w:ilvl w:val="0"/>
          <w:numId w:val="6"/>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Know the assessment requirements for the key stages taught. </w:t>
      </w:r>
    </w:p>
    <w:p>
      <w:pPr>
        <w:pStyle w:val="ListParagraph"/>
        <w:widowControl w:val="false"/>
        <w:numPr>
          <w:ilvl w:val="0"/>
          <w:numId w:val="6"/>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Use formative and summative assessment to guide planning for pupils’ learning.</w:t>
      </w:r>
    </w:p>
    <w:p>
      <w:pPr>
        <w:pStyle w:val="ListParagraph"/>
        <w:widowControl w:val="false"/>
        <w:numPr>
          <w:ilvl w:val="0"/>
          <w:numId w:val="6"/>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Work with data effectively to give feedback to pupils and colleagues about progress. </w:t>
      </w:r>
    </w:p>
    <w:p>
      <w:pPr>
        <w:pStyle w:val="ListParagraph"/>
        <w:widowControl w:val="false"/>
        <w:numPr>
          <w:ilvl w:val="0"/>
          <w:numId w:val="6"/>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Give pupils regular feedback both orally and through written marking in line with the school’s expectations. </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eastAsia="Arial Unicode MS" w:cs="Calibri"/>
          <w:color w:val="000000"/>
          <w:u w:val="none" w:color="000000"/>
          <w:lang w:val="en-GB" w:eastAsia="en-GB"/>
        </w:rPr>
      </w:pPr>
      <w:r>
        <w:rPr>
          <w:rFonts w:eastAsia="Arial Unicode MS" w:cs="Calibri"/>
          <w:color w:val="000000"/>
          <w:u w:val="none" w:color="000000"/>
          <w:lang w:val="en-GB" w:eastAsia="en-GB"/>
        </w:rPr>
      </w:r>
    </w:p>
    <w:p>
      <w:pPr>
        <w:pStyle w:val="ListParagraph"/>
        <w:widowControl w:val="false"/>
        <w:numPr>
          <w:ilvl w:val="0"/>
          <w:numId w:val="12"/>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Behaviour management</w:t>
      </w:r>
    </w:p>
    <w:p>
      <w:pPr>
        <w:pStyle w:val="ListParagraph"/>
        <w:widowControl w:val="false"/>
        <w:numPr>
          <w:ilvl w:val="0"/>
          <w:numId w:val="7"/>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Actively manage the learning behaviours of pupils in class and around the school.</w:t>
      </w:r>
    </w:p>
    <w:p>
      <w:pPr>
        <w:pStyle w:val="ListParagraph"/>
        <w:widowControl w:val="false"/>
        <w:numPr>
          <w:ilvl w:val="0"/>
          <w:numId w:val="7"/>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Have high expectations of behaviour at all times. </w:t>
      </w:r>
    </w:p>
    <w:p>
      <w:pPr>
        <w:pStyle w:val="ListParagraph"/>
        <w:widowControl w:val="false"/>
        <w:numPr>
          <w:ilvl w:val="0"/>
          <w:numId w:val="7"/>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Produce behaviour plans to support individual children.</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eastAsia="Arial Unicode MS" w:cs="Calibri"/>
          <w:color w:val="000000"/>
          <w:u w:val="none" w:color="000000"/>
          <w:lang w:val="en-GB" w:eastAsia="en-GB"/>
        </w:rPr>
      </w:pPr>
      <w:r>
        <w:rPr>
          <w:rFonts w:eastAsia="Arial Unicode MS" w:cs="Calibri"/>
          <w:color w:val="000000"/>
          <w:u w:val="none" w:color="000000"/>
          <w:lang w:val="en-GB" w:eastAsia="en-GB"/>
        </w:rPr>
      </w:r>
    </w:p>
    <w:p>
      <w:pPr>
        <w:pStyle w:val="ListParagraph"/>
        <w:widowControl w:val="false"/>
        <w:numPr>
          <w:ilvl w:val="0"/>
          <w:numId w:val="12"/>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Professional responsibilities</w:t>
      </w:r>
    </w:p>
    <w:p>
      <w:pPr>
        <w:pStyle w:val="ListParagraph"/>
        <w:widowControl w:val="false"/>
        <w:numPr>
          <w:ilvl w:val="0"/>
          <w:numId w:val="8"/>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Make a positive contribution to the wider life and ethos of the school. </w:t>
      </w:r>
    </w:p>
    <w:p>
      <w:pPr>
        <w:pStyle w:val="ListParagraph"/>
        <w:widowControl w:val="false"/>
        <w:numPr>
          <w:ilvl w:val="0"/>
          <w:numId w:val="8"/>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Develop professional relationships. </w:t>
      </w:r>
    </w:p>
    <w:p>
      <w:pPr>
        <w:pStyle w:val="ListParagraph"/>
        <w:widowControl w:val="false"/>
        <w:numPr>
          <w:ilvl w:val="0"/>
          <w:numId w:val="8"/>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Lead support staff during lessons. </w:t>
      </w:r>
    </w:p>
    <w:p>
      <w:pPr>
        <w:pStyle w:val="ListParagraph"/>
        <w:widowControl w:val="false"/>
        <w:numPr>
          <w:ilvl w:val="0"/>
          <w:numId w:val="8"/>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Evaluate own teaching and take advice from colleagues when required. </w:t>
      </w:r>
    </w:p>
    <w:p>
      <w:pPr>
        <w:pStyle w:val="ListParagraph"/>
        <w:widowControl w:val="false"/>
        <w:numPr>
          <w:ilvl w:val="0"/>
          <w:numId w:val="8"/>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Communicate effectively with parents recognising their important role in the education development of their child. </w:t>
      </w:r>
    </w:p>
    <w:p>
      <w:pPr>
        <w:pStyle w:val="Normal"/>
        <w:widowControl w:val="false"/>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eastAsia="Arial Unicode MS" w:cs="Calibri"/>
          <w:color w:val="000000"/>
          <w:u w:val="none" w:color="000000"/>
          <w:lang w:val="en-GB" w:eastAsia="en-GB"/>
        </w:rPr>
      </w:pPr>
      <w:r>
        <w:rPr>
          <w:rFonts w:eastAsia="Arial Unicode MS" w:cs="Calibri"/>
          <w:color w:val="000000"/>
          <w:u w:val="none" w:color="000000"/>
          <w:lang w:val="en-GB" w:eastAsia="en-GB"/>
        </w:rPr>
      </w:r>
    </w:p>
    <w:p>
      <w:pPr>
        <w:pStyle w:val="ListParagraph"/>
        <w:widowControl w:val="false"/>
        <w:numPr>
          <w:ilvl w:val="0"/>
          <w:numId w:val="12"/>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Audiology</w:t>
      </w:r>
    </w:p>
    <w:p>
      <w:pPr>
        <w:pStyle w:val="ListParagraph"/>
        <w:widowControl w:val="false"/>
        <w:numPr>
          <w:ilvl w:val="0"/>
          <w:numId w:val="8"/>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Have a positive attitude towards all audiological equipment that a child uses.</w:t>
      </w:r>
    </w:p>
    <w:p>
      <w:pPr>
        <w:pStyle w:val="ListParagraph"/>
        <w:widowControl w:val="false"/>
        <w:numPr>
          <w:ilvl w:val="0"/>
          <w:numId w:val="8"/>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Ensure that the audiological needs of each child are always met. </w:t>
      </w:r>
    </w:p>
    <w:p>
      <w:pPr>
        <w:pStyle w:val="ListParagraph"/>
        <w:widowControl w:val="false"/>
        <w:numPr>
          <w:ilvl w:val="0"/>
          <w:numId w:val="8"/>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Complete daily hearing aid listening checks, visual and Ling sound checks. </w:t>
      </w:r>
    </w:p>
    <w:p>
      <w:pPr>
        <w:pStyle w:val="ListParagraph"/>
        <w:widowControl w:val="false"/>
        <w:numPr>
          <w:ilvl w:val="0"/>
          <w:numId w:val="8"/>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Maintain equipment and troubleshoot where appropriate.</w:t>
      </w:r>
    </w:p>
    <w:p>
      <w:pPr>
        <w:pStyle w:val="ListParagraph"/>
        <w:widowControl w:val="false"/>
        <w:numPr>
          <w:ilvl w:val="0"/>
          <w:numId w:val="8"/>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Liaise with school audiologist.</w:t>
      </w:r>
    </w:p>
    <w:p>
      <w:pPr>
        <w:pStyle w:val="ListParagraph"/>
        <w:widowControl w:val="false"/>
        <w:numPr>
          <w:ilvl w:val="0"/>
          <w:numId w:val="8"/>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Check and maintain the radio aid system.</w:t>
      </w:r>
    </w:p>
    <w:p>
      <w:pPr>
        <w:pStyle w:val="ListParagraph"/>
        <w:widowControl w:val="false"/>
        <w:numPr>
          <w:ilvl w:val="0"/>
          <w:numId w:val="8"/>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Ensure the consistent use of the radio aid system where appropriate.</w:t>
      </w:r>
    </w:p>
    <w:p>
      <w:pPr>
        <w:pStyle w:val="ListParagraph"/>
        <w:widowControl w:val="false"/>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426" w:right="0"/>
        <w:rPr>
          <w:rFonts w:eastAsia="Arial Unicode MS" w:cs="Calibri"/>
          <w:color w:val="000000"/>
          <w:u w:val="none" w:color="000000"/>
          <w:lang w:val="en-GB" w:eastAsia="en-GB"/>
        </w:rPr>
      </w:pPr>
      <w:r>
        <w:rPr>
          <w:rFonts w:eastAsia="Arial Unicode MS" w:cs="Calibri"/>
          <w:color w:val="000000"/>
          <w:u w:val="none" w:color="000000"/>
          <w:lang w:val="en-GB" w:eastAsia="en-GB"/>
        </w:rPr>
      </w:r>
    </w:p>
    <w:p>
      <w:pPr>
        <w:pStyle w:val="Normal"/>
        <w:widowControl w:val="false"/>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eastAsia="Arial Unicode MS" w:cs="Calibri"/>
          <w:color w:val="000000"/>
          <w:u w:val="none" w:color="000000"/>
          <w:lang w:val="en-GB" w:eastAsia="en-GB"/>
        </w:rPr>
      </w:pPr>
      <w:r>
        <w:rPr>
          <w:rFonts w:eastAsia="Arial Unicode MS" w:cs="Calibri"/>
          <w:color w:val="000000"/>
          <w:u w:val="none" w:color="000000"/>
          <w:lang w:val="en-GB" w:eastAsia="en-GB"/>
        </w:rPr>
        <w:t xml:space="preserve">10)  Language and Communication </w:t>
      </w:r>
    </w:p>
    <w:p>
      <w:pPr>
        <w:pStyle w:val="ListParagraph"/>
        <w:widowControl w:val="false"/>
        <w:numPr>
          <w:ilvl w:val="0"/>
          <w:numId w:val="13"/>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720" w:left="720" w:right="0"/>
        <w:rPr/>
      </w:pPr>
      <w:r>
        <w:rPr>
          <w:rFonts w:eastAsia="Arial Unicode MS" w:cs="Calibri"/>
          <w:color w:val="000000"/>
          <w:u w:val="none" w:color="000000"/>
          <w:lang w:val="en-GB" w:eastAsia="en-GB"/>
        </w:rPr>
        <w:t>Work with children on an individual or group basis to promote their communication and language</w:t>
      </w:r>
    </w:p>
    <w:p>
      <w:pPr>
        <w:pStyle w:val="Normal"/>
        <w:widowControl w:val="false"/>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pPr>
      <w:r>
        <w:rPr>
          <w:rFonts w:eastAsia="Calibri" w:cs="Calibri"/>
          <w:color w:val="000000"/>
          <w:u w:val="none" w:color="000000"/>
          <w:lang w:val="en-GB" w:eastAsia="en-GB"/>
        </w:rPr>
        <w:t xml:space="preserve">        </w:t>
      </w:r>
      <w:r>
        <w:rPr>
          <w:rFonts w:eastAsia="Arial Unicode MS" w:cs="Calibri"/>
          <w:color w:val="000000"/>
          <w:u w:val="none" w:color="000000"/>
          <w:lang w:val="en-GB" w:eastAsia="en-GB"/>
        </w:rPr>
        <w:t>skills.</w:t>
      </w:r>
    </w:p>
    <w:p>
      <w:pPr>
        <w:pStyle w:val="ListParagraph"/>
        <w:widowControl w:val="false"/>
        <w:numPr>
          <w:ilvl w:val="0"/>
          <w:numId w:val="13"/>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720" w:left="720" w:right="0"/>
        <w:rPr/>
      </w:pPr>
      <w:r>
        <w:rPr>
          <w:rFonts w:eastAsia="Arial Unicode MS" w:cs="Calibri"/>
          <w:color w:val="000000"/>
          <w:u w:val="none" w:color="000000"/>
          <w:lang w:val="en-GB" w:eastAsia="en-GB"/>
        </w:rPr>
        <w:t>Work closely with the Deaf instructor and speech and language team to implement individual</w:t>
      </w:r>
    </w:p>
    <w:p>
      <w:pPr>
        <w:pStyle w:val="Normal"/>
        <w:widowControl w:val="false"/>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pPr>
      <w:r>
        <w:rPr>
          <w:rFonts w:eastAsia="Calibri" w:cs="Calibri"/>
          <w:color w:val="000000"/>
          <w:u w:val="none" w:color="000000"/>
          <w:lang w:val="en-GB" w:eastAsia="en-GB"/>
        </w:rPr>
        <w:t xml:space="preserve">        </w:t>
      </w:r>
      <w:r>
        <w:rPr>
          <w:rFonts w:eastAsia="Arial Unicode MS" w:cs="Calibri"/>
          <w:color w:val="000000"/>
          <w:u w:val="none" w:color="000000"/>
          <w:lang w:val="en-GB" w:eastAsia="en-GB"/>
        </w:rPr>
        <w:t>programs when needed.</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eastAsia="Arial Unicode MS" w:cs="Calibri"/>
          <w:color w:val="000000"/>
          <w:u w:val="none" w:color="000000"/>
          <w:lang w:val="en-GB" w:eastAsia="en-GB"/>
        </w:rPr>
      </w:pPr>
      <w:r>
        <w:rPr>
          <w:rFonts w:eastAsia="Arial Unicode MS" w:cs="Calibri"/>
          <w:color w:val="000000"/>
          <w:u w:val="none" w:color="000000"/>
          <w:lang w:val="en-GB" w:eastAsia="en-GB"/>
        </w:rPr>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eastAsia="Arial Unicode MS" w:cs="Calibri"/>
          <w:b/>
          <w:color w:val="000000"/>
          <w:u w:val="none" w:color="000000"/>
          <w:lang w:val="en-GB" w:eastAsia="en-GB"/>
        </w:rPr>
      </w:pPr>
      <w:r>
        <w:rPr>
          <w:rFonts w:eastAsia="Arial Unicode MS" w:cs="Calibri"/>
          <w:b/>
          <w:color w:val="000000"/>
          <w:u w:val="none" w:color="000000"/>
          <w:lang w:val="en-GB" w:eastAsia="en-GB"/>
        </w:rPr>
        <w:t>PERSONAL AND PROFESSIONAL CONDUCT</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eastAsia="Arial Unicode MS" w:cs="Calibri"/>
          <w:color w:val="000000"/>
          <w:u w:val="none" w:color="000000"/>
          <w:lang w:val="en-GB" w:eastAsia="en-GB"/>
        </w:rPr>
      </w:pPr>
      <w:r>
        <w:rPr>
          <w:rFonts w:eastAsia="Arial Unicode MS" w:cs="Calibri"/>
          <w:color w:val="000000"/>
          <w:u w:val="none" w:color="000000"/>
          <w:lang w:val="en-GB" w:eastAsia="en-GB"/>
        </w:rPr>
        <w:t xml:space="preserve">Uphold public trust in the teaching profession by: </w:t>
      </w:r>
    </w:p>
    <w:p>
      <w:pPr>
        <w:pStyle w:val="ListParagraph"/>
        <w:widowControl w:val="false"/>
        <w:numPr>
          <w:ilvl w:val="0"/>
          <w:numId w:val="9"/>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 xml:space="preserve">treating all pupils with respect; </w:t>
      </w:r>
    </w:p>
    <w:p>
      <w:pPr>
        <w:pStyle w:val="ListParagraph"/>
        <w:widowControl w:val="false"/>
        <w:numPr>
          <w:ilvl w:val="0"/>
          <w:numId w:val="9"/>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showing tolerance;</w:t>
      </w:r>
    </w:p>
    <w:p>
      <w:pPr>
        <w:pStyle w:val="ListParagraph"/>
        <w:widowControl w:val="false"/>
        <w:numPr>
          <w:ilvl w:val="0"/>
          <w:numId w:val="9"/>
        </w:numPr>
        <w:tabs>
          <w:tab w:val="clear" w:pos="720"/>
          <w:tab w:val="left" w:pos="426"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426" w:left="426" w:right="0"/>
        <w:rPr/>
      </w:pPr>
      <w:r>
        <w:rPr>
          <w:rFonts w:eastAsia="Arial Unicode MS" w:cs="Calibri"/>
          <w:color w:val="000000"/>
          <w:u w:val="none" w:color="000000"/>
          <w:lang w:val="en-GB" w:eastAsia="en-GB"/>
        </w:rPr>
        <w:t>promoting values of the school including aspiration, resilience, creativity, community and kindness; and ensuring personal beliefs are not expressed in ways which exploit pupils’ vulnerability.</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eastAsia="Arial Unicode MS" w:cs="Calibri"/>
          <w:color w:val="000000"/>
          <w:u w:val="none" w:color="000000"/>
          <w:lang w:val="en-GB" w:eastAsia="en-GB"/>
        </w:rPr>
      </w:pPr>
      <w:r>
        <w:rPr>
          <w:rFonts w:eastAsia="Arial Unicode MS" w:cs="Calibri"/>
          <w:color w:val="000000"/>
          <w:u w:val="none" w:color="000000"/>
          <w:lang w:val="en-GB" w:eastAsia="en-GB"/>
        </w:rPr>
      </w:r>
    </w:p>
    <w:p>
      <w:pPr>
        <w:pStyle w:val="Normal"/>
        <w:rPr>
          <w:rFonts w:cs="Calibri"/>
          <w:b/>
        </w:rPr>
      </w:pPr>
      <w:r>
        <w:rPr>
          <w:rFonts w:cs="Calibri"/>
          <w:b/>
        </w:rPr>
        <w:t>DEVELOPING SELF</w:t>
      </w:r>
    </w:p>
    <w:p>
      <w:pPr>
        <w:pStyle w:val="ListParagraph"/>
        <w:numPr>
          <w:ilvl w:val="0"/>
          <w:numId w:val="10"/>
        </w:numPr>
        <w:rPr/>
      </w:pPr>
      <w:r>
        <w:rPr>
          <w:rFonts w:cs="Calibri"/>
        </w:rPr>
        <w:t xml:space="preserve">Undertake training and attend INSET days in accordance with contractual requirements. </w:t>
      </w:r>
    </w:p>
    <w:p>
      <w:pPr>
        <w:pStyle w:val="ListParagraph"/>
        <w:numPr>
          <w:ilvl w:val="0"/>
          <w:numId w:val="10"/>
        </w:numPr>
        <w:rPr/>
      </w:pPr>
      <w:r>
        <w:rPr>
          <w:rFonts w:cs="Calibri"/>
        </w:rPr>
        <w:t xml:space="preserve">Take an active role in own performance management. </w:t>
      </w:r>
    </w:p>
    <w:p>
      <w:pPr>
        <w:pStyle w:val="Normal"/>
        <w:rPr>
          <w:rFonts w:cs="Calibri"/>
        </w:rPr>
      </w:pPr>
      <w:r>
        <w:rPr>
          <w:rFonts w:cs="Calibri"/>
        </w:rPr>
      </w:r>
    </w:p>
    <w:p>
      <w:pPr>
        <w:pStyle w:val="Normal"/>
        <w:rPr>
          <w:rFonts w:cs="Calibri"/>
          <w:b/>
        </w:rPr>
      </w:pPr>
      <w:r>
        <w:rPr>
          <w:rFonts w:cs="Calibri"/>
          <w:b/>
        </w:rPr>
        <w:t>OTHER DUTIES</w:t>
      </w:r>
    </w:p>
    <w:p>
      <w:pPr>
        <w:pStyle w:val="ListParagraph"/>
        <w:numPr>
          <w:ilvl w:val="0"/>
          <w:numId w:val="11"/>
        </w:numPr>
        <w:rPr/>
      </w:pPr>
      <w:r>
        <w:rPr>
          <w:rFonts w:cs="Calibri"/>
        </w:rPr>
        <w:t>Follow the School’s Equal Opportunities policies.</w:t>
      </w:r>
    </w:p>
    <w:p>
      <w:pPr>
        <w:pStyle w:val="ListParagraph"/>
        <w:numPr>
          <w:ilvl w:val="0"/>
          <w:numId w:val="11"/>
        </w:numPr>
        <w:rPr/>
      </w:pPr>
      <w:r>
        <w:rPr>
          <w:rFonts w:cs="Calibri"/>
        </w:rPr>
        <w:t>Maintain confidentiality and observe data protection and associated guidelines.</w:t>
      </w:r>
    </w:p>
    <w:p>
      <w:pPr>
        <w:pStyle w:val="ListParagraph"/>
        <w:numPr>
          <w:ilvl w:val="0"/>
          <w:numId w:val="11"/>
        </w:numPr>
        <w:rPr/>
      </w:pPr>
      <w:r>
        <w:rPr>
          <w:rFonts w:cs="Calibri"/>
        </w:rPr>
        <w:t>Assisting with any other duties of a similar level or responsibility as required by the Head Teacher.</w:t>
      </w:r>
    </w:p>
    <w:p>
      <w:pPr>
        <w:pStyle w:val="ListParagraph"/>
        <w:numPr>
          <w:ilvl w:val="0"/>
          <w:numId w:val="11"/>
        </w:numPr>
        <w:rPr/>
      </w:pPr>
      <w:r>
        <w:rPr>
          <w:rFonts w:cs="Calibri"/>
        </w:rPr>
        <w:t>Promote positive deaf awareness across all aspects of the school.</w:t>
      </w:r>
    </w:p>
    <w:p>
      <w:pPr>
        <w:pStyle w:val="Normal"/>
        <w:rPr>
          <w:b/>
          <w:u w:val="single"/>
        </w:rPr>
      </w:pPr>
      <w:r>
        <w:rPr>
          <w:b/>
          <w:u w:val="single"/>
        </w:rPr>
      </w:r>
    </w:p>
    <w:p>
      <w:pPr>
        <w:pStyle w:val="Normal"/>
        <w:rPr>
          <w:rFonts w:eastAsia="Arial" w:cs="Arial"/>
          <w:b/>
          <w:u w:val="single"/>
        </w:rPr>
      </w:pPr>
      <w:r>
        <w:rPr>
          <w:rFonts w:eastAsia="Arial" w:cs="Arial"/>
          <w:b/>
          <w:u w:val="single"/>
        </w:rPr>
        <w:t>Entitlement</w:t>
      </w:r>
    </w:p>
    <w:p>
      <w:pPr>
        <w:pStyle w:val="Normal"/>
        <w:rPr>
          <w:rFonts w:eastAsia="Arial" w:cs="Arial"/>
        </w:rPr>
      </w:pPr>
      <w:r>
        <w:rPr>
          <w:rFonts w:eastAsia="Arial" w:cs="Arial"/>
        </w:rPr>
        <w:t>The Headteacher and governing body are fully committed to ensuring the professional effectiveness of the teacher in this role through:</w:t>
      </w:r>
    </w:p>
    <w:p>
      <w:pPr>
        <w:pStyle w:val="Normal"/>
        <w:rPr>
          <w:rFonts w:eastAsia="Arial" w:cs="Arial"/>
        </w:rPr>
      </w:pPr>
      <w:r>
        <w:rPr>
          <w:rFonts w:eastAsia="Arial" w:cs="Arial"/>
        </w:rPr>
      </w:r>
    </w:p>
    <w:p>
      <w:pPr>
        <w:pStyle w:val="Normal"/>
        <w:rPr>
          <w:rFonts w:eastAsia="Arial" w:cs="Arial"/>
        </w:rPr>
      </w:pPr>
      <w:r>
        <w:rPr>
          <w:rFonts w:eastAsia="Arial" w:cs="Arial"/>
        </w:rPr>
        <w:t>* the provision of professional development opportunities</w:t>
      </w:r>
    </w:p>
    <w:p>
      <w:pPr>
        <w:pStyle w:val="Normal"/>
        <w:rPr>
          <w:rFonts w:eastAsia="Arial" w:cs="Arial"/>
        </w:rPr>
      </w:pPr>
      <w:r>
        <w:rPr>
          <w:rFonts w:eastAsia="Arial" w:cs="Arial"/>
        </w:rPr>
        <w:t>* supportive and pro-active line management.</w:t>
      </w:r>
    </w:p>
    <w:p>
      <w:pPr>
        <w:pStyle w:val="Normal"/>
        <w:rPr/>
      </w:pPr>
      <w:r>
        <w:rPr/>
      </w:r>
    </w:p>
    <w:p>
      <w:pPr>
        <w:pStyle w:val="Normal"/>
        <w:rPr>
          <w:b/>
          <w:u w:val="single"/>
        </w:rPr>
      </w:pPr>
      <w:r>
        <w:rPr>
          <w:b/>
          <w:u w:val="single"/>
        </w:rPr>
        <w:t>Conditions of employment</w:t>
      </w:r>
    </w:p>
    <w:p>
      <w:pPr>
        <w:pStyle w:val="Normal"/>
        <w:rPr/>
      </w:pPr>
      <w:r>
        <w:rPr/>
        <w:t>The above responsibilities are in accordance with the requirements of the Teachers’ Pay and Conditions Act 1987 and subsequent Orders in the terms of duties and working time, also any local agreements, LA Circulars and guidelines giving interpretations of teachers’ conditions of service.</w:t>
      </w:r>
    </w:p>
    <w:p>
      <w:pPr>
        <w:pStyle w:val="Normal"/>
        <w:rPr>
          <w:b/>
          <w:u w:val="single"/>
        </w:rPr>
      </w:pPr>
      <w:r>
        <w:rPr>
          <w:b/>
          <w:u w:val="single"/>
        </w:rPr>
      </w:r>
    </w:p>
    <w:p>
      <w:pPr>
        <w:pStyle w:val="Normal"/>
        <w:rPr>
          <w:b/>
          <w:u w:val="single"/>
        </w:rPr>
      </w:pPr>
      <w:r>
        <w:rPr>
          <w:b/>
          <w:u w:val="single"/>
        </w:rPr>
        <w:t>Review and amendment</w:t>
      </w:r>
    </w:p>
    <w:p>
      <w:pPr>
        <w:pStyle w:val="Normal"/>
        <w:rPr/>
      </w:pPr>
      <w:r>
        <w:rPr/>
        <w:t>This job description is subject to annual review by the Governing Body.  It may be amended at the request of the Headteacher, or the post holder, but only after full consultation with the post holder.  It will be signed if agreement is reached.</w:t>
      </w:r>
    </w:p>
    <w:p>
      <w:pPr>
        <w:pStyle w:val="Normal"/>
        <w:rPr>
          <w:b/>
          <w:u w:val="single"/>
        </w:rPr>
      </w:pPr>
      <w:r>
        <w:rPr>
          <w:b/>
          <w:u w:val="single"/>
        </w:rPr>
      </w:r>
    </w:p>
    <w:p>
      <w:pPr>
        <w:pStyle w:val="Normal"/>
        <w:rPr>
          <w:b/>
          <w:u w:val="single"/>
        </w:rPr>
      </w:pPr>
      <w:r>
        <w:rPr>
          <w:b/>
          <w:u w:val="single"/>
        </w:rPr>
        <w:t>Complaints</w:t>
      </w:r>
    </w:p>
    <w:p>
      <w:pPr>
        <w:pStyle w:val="Normal"/>
        <w:rPr/>
      </w:pPr>
      <w:r>
        <w:rPr/>
        <w:t>If, following review and amendment, agreement is not reached, the appropriate procedures, in line with Bolton policies should be used for the settling of any disputes.</w:t>
      </w:r>
    </w:p>
    <w:p>
      <w:pPr>
        <w:pStyle w:val="Normal"/>
        <w:rPr/>
      </w:pPr>
      <w:r>
        <w:rPr/>
      </w:r>
    </w:p>
    <w:p>
      <w:pPr>
        <w:pStyle w:val="Normal"/>
        <w:rPr/>
      </w:pPr>
      <w:r>
        <w:rPr/>
      </w:r>
    </w:p>
    <w:p>
      <w:pPr>
        <w:pStyle w:val="Normal"/>
        <w:rPr>
          <w:rFonts w:cs="Calibri"/>
          <w:b/>
        </w:rPr>
      </w:pPr>
      <w:r>
        <w:rPr>
          <w:rFonts w:cs="Calibri"/>
          <w:b/>
        </w:rPr>
      </w:r>
    </w:p>
    <w:p>
      <w:pPr>
        <w:pStyle w:val="Normal"/>
        <w:rPr>
          <w:rFonts w:cs="Calibri"/>
          <w:b/>
        </w:rPr>
      </w:pPr>
      <w:r>
        <w:rPr>
          <w:rFonts w:cs="Calibri"/>
          <w:b/>
        </w:rPr>
      </w:r>
    </w:p>
    <w:p>
      <w:pPr>
        <w:pStyle w:val="BodyText"/>
        <w:rPr>
          <w:rFonts w:ascii="Calibri" w:hAnsi="Calibri" w:cs="Calibri"/>
          <w:szCs w:val="24"/>
        </w:rPr>
      </w:pPr>
      <w:r>
        <w:rPr>
          <w:rFonts w:cs="Calibri" w:ascii="Calibri" w:hAnsi="Calibri"/>
          <w:szCs w:val="24"/>
        </w:rPr>
        <w:t>Signed:</w:t>
        <w:tab/>
        <w:tab/>
        <w:tab/>
        <w:tab/>
        <w:tab/>
        <w:t>(Teacher)</w:t>
        <w:tab/>
        <w:tab/>
        <w:tab/>
        <w:t xml:space="preserve">Date:  </w:t>
      </w:r>
    </w:p>
    <w:p>
      <w:pPr>
        <w:pStyle w:val="BodyText"/>
        <w:rPr>
          <w:rFonts w:ascii="Calibri" w:hAnsi="Calibri" w:cs="Calibri"/>
          <w:szCs w:val="24"/>
        </w:rPr>
      </w:pPr>
      <w:r>
        <w:rPr>
          <w:rFonts w:cs="Calibri" w:ascii="Calibri" w:hAnsi="Calibri"/>
          <w:szCs w:val="24"/>
        </w:rPr>
      </w:r>
    </w:p>
    <w:p>
      <w:pPr>
        <w:pStyle w:val="BodyText"/>
        <w:rPr>
          <w:rFonts w:ascii="Calibri" w:hAnsi="Calibri" w:cs="Calibri"/>
          <w:szCs w:val="24"/>
        </w:rPr>
      </w:pPr>
      <w:r>
        <w:rPr>
          <w:rFonts w:cs="Calibri" w:ascii="Calibri" w:hAnsi="Calibri"/>
          <w:szCs w:val="24"/>
        </w:rPr>
        <w:t>Signed:</w:t>
        <w:tab/>
        <w:tab/>
        <w:tab/>
        <w:tab/>
        <w:tab/>
        <w:t>(Headteacher)</w:t>
        <w:tab/>
        <w:tab/>
        <w:tab/>
        <w:t>Date:</w:t>
      </w:r>
    </w:p>
    <w:p>
      <w:pPr>
        <w:pStyle w:val="BodyText"/>
        <w:rPr>
          <w:rFonts w:ascii="Calibri" w:hAnsi="Calibri" w:cs="Calibri"/>
          <w:szCs w:val="24"/>
        </w:rPr>
      </w:pPr>
      <w:r>
        <w:rPr>
          <w:rFonts w:cs="Calibri" w:ascii="Calibri" w:hAnsi="Calibri"/>
          <w:szCs w:val="24"/>
        </w:rPr>
      </w:r>
    </w:p>
    <w:p>
      <w:pPr>
        <w:pStyle w:val="Normal"/>
        <w:rPr>
          <w:rFonts w:ascii="Calibri" w:hAnsi="Calibri" w:cs="Calibri"/>
          <w:b/>
          <w:szCs w:val="24"/>
        </w:rPr>
      </w:pPr>
      <w:r>
        <w:rPr>
          <w:rFonts w:cs="Calibri"/>
          <w:b/>
          <w:szCs w:val="24"/>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rPr>
      </w:pPr>
      <w:r>
        <w:rPr>
          <w:rFonts w:cs="Calibri"/>
          <w:b/>
        </w:rPr>
      </w:r>
    </w:p>
    <w:p>
      <w:pPr>
        <w:pStyle w:val="Normal"/>
        <w:rPr>
          <w:rFonts w:cs="Calibri"/>
          <w:b/>
          <w:sz w:val="32"/>
          <w:szCs w:val="32"/>
        </w:rPr>
      </w:pPr>
      <w:r>
        <w:rPr>
          <w:rFonts w:cs="Calibri"/>
          <w:b/>
          <w:sz w:val="32"/>
          <w:szCs w:val="32"/>
        </w:rPr>
      </w:r>
    </w:p>
    <w:p>
      <w:pPr>
        <w:pStyle w:val="Normal"/>
        <w:rPr>
          <w:rFonts w:cs="Calibri"/>
          <w:b/>
          <w:sz w:val="32"/>
          <w:szCs w:val="32"/>
        </w:rPr>
      </w:pPr>
      <w:r>
        <w:rPr>
          <w:rFonts w:cs="Calibri"/>
          <w:b/>
          <w:sz w:val="32"/>
          <w:szCs w:val="32"/>
        </w:rPr>
        <w:t xml:space="preserve">Person Specification – Teacher of Deaf Children </w:t>
      </w:r>
    </w:p>
    <w:p>
      <w:pPr>
        <w:pStyle w:val="Normal"/>
        <w:rPr>
          <w:rFonts w:cs="Calibri"/>
        </w:rPr>
      </w:pPr>
      <w:r>
        <w:rPr>
          <w:rFonts w:cs="Calibri"/>
        </w:rPr>
      </w:r>
    </w:p>
    <w:tbl>
      <w:tblPr>
        <w:tblW w:w="11198" w:type="dxa"/>
        <w:jc w:val="left"/>
        <w:tblInd w:w="-323" w:type="dxa"/>
        <w:tblLayout w:type="fixed"/>
        <w:tblCellMar>
          <w:top w:w="0" w:type="dxa"/>
          <w:left w:w="108" w:type="dxa"/>
          <w:bottom w:w="0" w:type="dxa"/>
          <w:right w:w="108" w:type="dxa"/>
        </w:tblCellMar>
      </w:tblPr>
      <w:tblGrid>
        <w:gridCol w:w="1560"/>
        <w:gridCol w:w="9638"/>
      </w:tblGrid>
      <w:tr>
        <w:trPr/>
        <w:tc>
          <w:tcPr>
            <w:tcW w:w="156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cs="Calibri"/>
              </w:rPr>
            </w:pPr>
            <w:r>
              <w:rPr>
                <w:rFonts w:cs="Calibri"/>
              </w:rPr>
              <w:t>Criteria</w:t>
            </w:r>
          </w:p>
        </w:tc>
        <w:tc>
          <w:tcPr>
            <w:tcW w:w="9638" w:type="dxa"/>
            <w:tcBorders>
              <w:top w:val="single" w:sz="4" w:space="0" w:color="000000"/>
              <w:left w:val="single" w:sz="4" w:space="0" w:color="000000"/>
              <w:bottom w:val="single" w:sz="4" w:space="0" w:color="000000"/>
              <w:right w:val="single" w:sz="4" w:space="0" w:color="000000"/>
            </w:tcBorders>
          </w:tcPr>
          <w:p>
            <w:pPr>
              <w:pStyle w:val="Normal"/>
              <w:spacing w:before="120" w:after="120"/>
              <w:jc w:val="center"/>
              <w:rPr>
                <w:rFonts w:cs="Calibri"/>
              </w:rPr>
            </w:pPr>
            <w:r>
              <w:rPr>
                <w:rFonts w:cs="Calibri"/>
              </w:rPr>
              <w:t>Requirements</w:t>
            </w:r>
          </w:p>
        </w:tc>
      </w:tr>
      <w:tr>
        <w:trPr/>
        <w:tc>
          <w:tcPr>
            <w:tcW w:w="156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cs="Calibri"/>
              </w:rPr>
            </w:pPr>
            <w:r>
              <w:rPr>
                <w:rFonts w:cs="Calibri"/>
              </w:rPr>
              <w:t>Qualifications</w:t>
            </w:r>
          </w:p>
        </w:tc>
        <w:tc>
          <w:tcPr>
            <w:tcW w:w="9638" w:type="dxa"/>
            <w:tcBorders>
              <w:top w:val="single" w:sz="4" w:space="0" w:color="000000"/>
              <w:left w:val="single" w:sz="4" w:space="0" w:color="000000"/>
              <w:bottom w:val="single" w:sz="4" w:space="0" w:color="000000"/>
              <w:right w:val="single" w:sz="4" w:space="0" w:color="000000"/>
            </w:tcBorders>
          </w:tcPr>
          <w:p>
            <w:pPr>
              <w:pStyle w:val="ListParagraph"/>
              <w:numPr>
                <w:ilvl w:val="0"/>
                <w:numId w:val="14"/>
              </w:numPr>
              <w:rPr/>
            </w:pPr>
            <w:r>
              <w:rPr>
                <w:rFonts w:cs="Calibri"/>
              </w:rPr>
              <w:t xml:space="preserve">Qualification and experience in teaching </w:t>
            </w:r>
          </w:p>
          <w:p>
            <w:pPr>
              <w:pStyle w:val="ListParagraph"/>
              <w:numPr>
                <w:ilvl w:val="0"/>
                <w:numId w:val="14"/>
              </w:numPr>
              <w:rPr>
                <w:rFonts w:cs="Calibri"/>
              </w:rPr>
            </w:pPr>
            <w:r>
              <w:rPr>
                <w:rFonts w:cs="Calibri"/>
              </w:rPr>
              <w:t xml:space="preserve">Qualified Teacher of the Deaf or willing to undertake the two-year specialist postgraduate qualification within 3 years of starting in post </w:t>
            </w:r>
          </w:p>
        </w:tc>
      </w:tr>
      <w:tr>
        <w:trPr>
          <w:trHeight w:val="1932" w:hRule="atLeast"/>
        </w:trPr>
        <w:tc>
          <w:tcPr>
            <w:tcW w:w="156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cs="Calibri"/>
              </w:rPr>
            </w:pPr>
            <w:r>
              <w:rPr>
                <w:rFonts w:cs="Calibri"/>
              </w:rPr>
              <w:t>Teaching Experience</w:t>
            </w:r>
          </w:p>
        </w:tc>
        <w:tc>
          <w:tcPr>
            <w:tcW w:w="9638" w:type="dxa"/>
            <w:tcBorders>
              <w:top w:val="single" w:sz="4" w:space="0" w:color="000000"/>
              <w:left w:val="single" w:sz="4" w:space="0" w:color="000000"/>
              <w:bottom w:val="single" w:sz="4" w:space="0" w:color="000000"/>
              <w:right w:val="single" w:sz="4" w:space="0" w:color="000000"/>
            </w:tcBorders>
          </w:tcPr>
          <w:p>
            <w:pPr>
              <w:pStyle w:val="ListParagraph"/>
              <w:numPr>
                <w:ilvl w:val="0"/>
                <w:numId w:val="14"/>
              </w:numPr>
              <w:rPr/>
            </w:pPr>
            <w:r>
              <w:rPr>
                <w:rFonts w:cs="Calibri"/>
              </w:rPr>
              <w:t xml:space="preserve">Recent and relevant experience                  </w:t>
            </w:r>
          </w:p>
          <w:p>
            <w:pPr>
              <w:pStyle w:val="ListParagraph"/>
              <w:numPr>
                <w:ilvl w:val="0"/>
                <w:numId w:val="14"/>
              </w:numPr>
              <w:rPr/>
            </w:pPr>
            <w:r>
              <w:rPr/>
              <w:t xml:space="preserve">Experience &amp; knowledge of teaching in a particular Key Stage </w:t>
            </w:r>
          </w:p>
          <w:p>
            <w:pPr>
              <w:pStyle w:val="ListParagraph"/>
              <w:numPr>
                <w:ilvl w:val="0"/>
                <w:numId w:val="14"/>
              </w:numPr>
              <w:rPr/>
            </w:pPr>
            <w:r>
              <w:rPr/>
              <w:t xml:space="preserve">Knowledge and experience of a range of teaching and learning styles and strategies </w:t>
            </w:r>
          </w:p>
          <w:p>
            <w:pPr>
              <w:pStyle w:val="ListParagraph"/>
              <w:numPr>
                <w:ilvl w:val="0"/>
                <w:numId w:val="14"/>
              </w:numPr>
              <w:rPr/>
            </w:pPr>
            <w:r>
              <w:rPr/>
              <w:t xml:space="preserve">Proven track record in delivering high quality provision </w:t>
            </w:r>
          </w:p>
          <w:p>
            <w:pPr>
              <w:pStyle w:val="ListParagraph"/>
              <w:numPr>
                <w:ilvl w:val="0"/>
                <w:numId w:val="14"/>
              </w:numPr>
              <w:rPr/>
            </w:pPr>
            <w:r>
              <w:rPr/>
              <w:t xml:space="preserve">The ability to assess and report upon the development, progress and attainment of pupils </w:t>
            </w:r>
          </w:p>
        </w:tc>
      </w:tr>
      <w:tr>
        <w:trPr>
          <w:trHeight w:val="801" w:hRule="atLeast"/>
        </w:trPr>
        <w:tc>
          <w:tcPr>
            <w:tcW w:w="1560" w:type="dxa"/>
            <w:tcBorders>
              <w:top w:val="single" w:sz="4" w:space="0" w:color="000000"/>
              <w:left w:val="single" w:sz="4" w:space="0" w:color="000000"/>
              <w:bottom w:val="single" w:sz="4" w:space="0" w:color="000000"/>
              <w:right w:val="single" w:sz="4" w:space="0" w:color="000000"/>
            </w:tcBorders>
          </w:tcPr>
          <w:p>
            <w:pPr>
              <w:pStyle w:val="Normal"/>
              <w:spacing w:before="120" w:after="120"/>
              <w:rPr/>
            </w:pPr>
            <w:r>
              <w:rPr/>
              <w:t xml:space="preserve">Professional Development </w:t>
            </w:r>
          </w:p>
        </w:tc>
        <w:tc>
          <w:tcPr>
            <w:tcW w:w="9638" w:type="dxa"/>
            <w:tcBorders>
              <w:top w:val="single" w:sz="4" w:space="0" w:color="000000"/>
              <w:left w:val="single" w:sz="4" w:space="0" w:color="000000"/>
              <w:bottom w:val="single" w:sz="4" w:space="0" w:color="000000"/>
              <w:right w:val="single" w:sz="4" w:space="0" w:color="000000"/>
            </w:tcBorders>
          </w:tcPr>
          <w:p>
            <w:pPr>
              <w:pStyle w:val="ListParagraph"/>
              <w:numPr>
                <w:ilvl w:val="0"/>
                <w:numId w:val="14"/>
              </w:numPr>
              <w:rPr/>
            </w:pPr>
            <w:r>
              <w:rPr/>
              <w:t xml:space="preserve">Active involvement in recent and relevant INSET/training  </w:t>
            </w:r>
          </w:p>
          <w:p>
            <w:pPr>
              <w:pStyle w:val="ListParagraph"/>
              <w:numPr>
                <w:ilvl w:val="0"/>
                <w:numId w:val="14"/>
              </w:numPr>
              <w:rPr/>
            </w:pPr>
            <w:r>
              <w:rPr/>
              <w:t xml:space="preserve">Training in different teaching and learning strategies </w:t>
            </w:r>
          </w:p>
        </w:tc>
      </w:tr>
      <w:tr>
        <w:trPr>
          <w:trHeight w:val="2707" w:hRule="atLeast"/>
        </w:trPr>
        <w:tc>
          <w:tcPr>
            <w:tcW w:w="156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cs="Calibri"/>
              </w:rPr>
            </w:pPr>
            <w:r>
              <w:rPr>
                <w:rFonts w:cs="Calibri"/>
              </w:rPr>
              <w:t>Knowledge and skills</w:t>
            </w:r>
          </w:p>
        </w:tc>
        <w:tc>
          <w:tcPr>
            <w:tcW w:w="9638" w:type="dxa"/>
            <w:tcBorders>
              <w:top w:val="single" w:sz="4" w:space="0" w:color="000000"/>
              <w:left w:val="single" w:sz="4" w:space="0" w:color="000000"/>
              <w:bottom w:val="single" w:sz="4" w:space="0" w:color="000000"/>
              <w:right w:val="single" w:sz="4" w:space="0" w:color="000000"/>
            </w:tcBorders>
          </w:tcPr>
          <w:p>
            <w:pPr>
              <w:pStyle w:val="ListParagraph"/>
              <w:numPr>
                <w:ilvl w:val="0"/>
                <w:numId w:val="14"/>
              </w:numPr>
              <w:rPr/>
            </w:pPr>
            <w:r>
              <w:rPr/>
              <w:t xml:space="preserve">High expectations and a commitment to raising standards of attainment </w:t>
            </w:r>
            <w:r>
              <w:rPr>
                <w:rFonts w:cs="Calibri"/>
              </w:rPr>
              <w:t xml:space="preserve">                     </w:t>
            </w:r>
          </w:p>
          <w:p>
            <w:pPr>
              <w:pStyle w:val="ListParagraph"/>
              <w:numPr>
                <w:ilvl w:val="0"/>
                <w:numId w:val="14"/>
              </w:numPr>
              <w:rPr/>
            </w:pPr>
            <w:r>
              <w:rPr/>
              <w:t xml:space="preserve">Resilient, resourceful and good humoured </w:t>
            </w:r>
            <w:r>
              <w:rPr>
                <w:rFonts w:cs="Calibri"/>
              </w:rPr>
              <w:t xml:space="preserve">                </w:t>
            </w:r>
          </w:p>
          <w:p>
            <w:pPr>
              <w:pStyle w:val="ListParagraph"/>
              <w:numPr>
                <w:ilvl w:val="0"/>
                <w:numId w:val="14"/>
              </w:numPr>
              <w:rPr/>
            </w:pPr>
            <w:r>
              <w:rPr/>
              <w:t xml:space="preserve">Good organisational skills </w:t>
            </w:r>
            <w:r>
              <w:rPr>
                <w:rFonts w:cs="Calibri"/>
              </w:rPr>
              <w:t xml:space="preserve">                     </w:t>
            </w:r>
          </w:p>
          <w:p>
            <w:pPr>
              <w:pStyle w:val="ListParagraph"/>
              <w:numPr>
                <w:ilvl w:val="0"/>
                <w:numId w:val="14"/>
              </w:numPr>
              <w:rPr/>
            </w:pPr>
            <w:r>
              <w:rPr/>
              <w:t xml:space="preserve">Able to set high standards in actions </w:t>
            </w:r>
            <w:r>
              <w:rPr>
                <w:rFonts w:cs="Calibri"/>
              </w:rPr>
              <w:t xml:space="preserve">                   </w:t>
            </w:r>
          </w:p>
          <w:p>
            <w:pPr>
              <w:pStyle w:val="ListParagraph"/>
              <w:numPr>
                <w:ilvl w:val="0"/>
                <w:numId w:val="14"/>
              </w:numPr>
              <w:rPr/>
            </w:pPr>
            <w:r>
              <w:rPr/>
              <w:t xml:space="preserve">Able to work independently </w:t>
            </w:r>
            <w:r>
              <w:rPr>
                <w:rFonts w:cs="Calibri"/>
              </w:rPr>
              <w:t xml:space="preserve">               </w:t>
            </w:r>
          </w:p>
          <w:p>
            <w:pPr>
              <w:pStyle w:val="ListParagraph"/>
              <w:numPr>
                <w:ilvl w:val="0"/>
                <w:numId w:val="14"/>
              </w:numPr>
              <w:rPr/>
            </w:pPr>
            <w:r>
              <w:rPr>
                <w:rFonts w:cs="Calibri"/>
              </w:rPr>
              <w:t xml:space="preserve">Ability to lead a subject across the school                       </w:t>
            </w:r>
          </w:p>
          <w:p>
            <w:pPr>
              <w:pStyle w:val="ListParagraph"/>
              <w:numPr>
                <w:ilvl w:val="0"/>
                <w:numId w:val="14"/>
              </w:numPr>
              <w:rPr/>
            </w:pPr>
            <w:r>
              <w:rPr>
                <w:rFonts w:cs="Calibri"/>
              </w:rPr>
              <w:t xml:space="preserve">Knowledge of British Sign Language or a commitment to work towards BSL 3 and above </w:t>
            </w:r>
          </w:p>
          <w:p>
            <w:pPr>
              <w:pStyle w:val="ListParagraph"/>
              <w:numPr>
                <w:ilvl w:val="0"/>
                <w:numId w:val="14"/>
              </w:numPr>
              <w:rPr>
                <w:rFonts w:cs="Calibri"/>
              </w:rPr>
            </w:pPr>
            <w:r>
              <w:rPr>
                <w:rFonts w:cs="Calibri"/>
              </w:rPr>
              <w:t xml:space="preserve">Effective communicator including high levels of written English       </w:t>
            </w:r>
          </w:p>
        </w:tc>
      </w:tr>
      <w:tr>
        <w:trPr>
          <w:trHeight w:val="1126" w:hRule="atLeast"/>
        </w:trPr>
        <w:tc>
          <w:tcPr>
            <w:tcW w:w="156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cs="Calibri"/>
              </w:rPr>
            </w:pPr>
            <w:r>
              <w:rPr>
                <w:rFonts w:cs="Calibri"/>
              </w:rPr>
              <w:t>Personal attributes</w:t>
            </w:r>
          </w:p>
        </w:tc>
        <w:tc>
          <w:tcPr>
            <w:tcW w:w="9638" w:type="dxa"/>
            <w:tcBorders>
              <w:top w:val="single" w:sz="4" w:space="0" w:color="000000"/>
              <w:left w:val="single" w:sz="4" w:space="0" w:color="000000"/>
              <w:bottom w:val="single" w:sz="4" w:space="0" w:color="000000"/>
              <w:right w:val="single" w:sz="4" w:space="0" w:color="000000"/>
            </w:tcBorders>
          </w:tcPr>
          <w:p>
            <w:pPr>
              <w:pStyle w:val="ListParagraph"/>
              <w:numPr>
                <w:ilvl w:val="0"/>
                <w:numId w:val="14"/>
              </w:numPr>
              <w:rPr/>
            </w:pPr>
            <w:r>
              <w:rPr/>
              <w:t xml:space="preserve">Experience of and commitment to working as a member of a team </w:t>
            </w:r>
          </w:p>
          <w:p>
            <w:pPr>
              <w:pStyle w:val="ListParagraph"/>
              <w:numPr>
                <w:ilvl w:val="0"/>
                <w:numId w:val="14"/>
              </w:numPr>
              <w:rPr/>
            </w:pPr>
            <w:r>
              <w:rPr>
                <w:rFonts w:cs="Calibri"/>
              </w:rPr>
              <w:t xml:space="preserve">Commitment to and belief in equal opportunities and equal values for all children                     </w:t>
            </w:r>
          </w:p>
          <w:p>
            <w:pPr>
              <w:pStyle w:val="ListParagraph"/>
              <w:numPr>
                <w:ilvl w:val="0"/>
                <w:numId w:val="14"/>
              </w:numPr>
              <w:rPr/>
            </w:pPr>
            <w:r>
              <w:rPr>
                <w:rFonts w:cs="Calibri"/>
              </w:rPr>
              <w:t xml:space="preserve">Ability to think flexibly and solve problems             </w:t>
            </w:r>
          </w:p>
          <w:p>
            <w:pPr>
              <w:pStyle w:val="ListParagraph"/>
              <w:numPr>
                <w:ilvl w:val="0"/>
                <w:numId w:val="14"/>
              </w:numPr>
              <w:rPr/>
            </w:pPr>
            <w:r>
              <w:rPr/>
              <w:t xml:space="preserve">Adaptability to changing circumstances and ideas </w:t>
            </w:r>
            <w:r>
              <w:rPr>
                <w:rFonts w:cs="Calibri"/>
              </w:rPr>
              <w:t xml:space="preserve">                     </w:t>
            </w:r>
          </w:p>
        </w:tc>
      </w:tr>
    </w:tbl>
    <w:p>
      <w:pPr>
        <w:pStyle w:val="Normal"/>
        <w:rPr>
          <w:rFonts w:cs="Calibri"/>
        </w:rPr>
      </w:pPr>
      <w:r>
        <w:rPr>
          <w:rFonts w:cs="Calibri"/>
        </w:rPr>
      </w:r>
    </w:p>
    <w:p>
      <w:pPr>
        <w:pStyle w:val="Normal"/>
        <w:rPr>
          <w:rFonts w:cs="Calibri"/>
        </w:rPr>
      </w:pPr>
      <w:r>
        <w:rPr>
          <w:rFonts w:cs="Calibri"/>
        </w:rPr>
      </w:r>
    </w:p>
    <w:p>
      <w:pPr>
        <w:pStyle w:val="Normal"/>
        <w:rPr/>
      </w:pPr>
      <w:r>
        <w:rPr/>
      </w:r>
    </w:p>
    <w:sectPr>
      <w:type w:val="nextPage"/>
      <w:pgSz w:w="11906" w:h="16838"/>
      <w:pgMar w:left="720" w:right="720" w:gutter="0" w:header="0" w:top="720" w:footer="0" w:bottom="72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Gill Sans MT">
    <w:charset w:val="01"/>
    <w:family w:val="swiss"/>
    <w:pitch w:val="variable"/>
  </w:font>
  <w:font w:name="Segoe UI">
    <w:charset w:val="00"/>
    <w:family w:val="roman"/>
    <w:pitch w:val="variable"/>
  </w:font>
  <w:font w:name="Liberation Sans">
    <w:altName w:val="Arial"/>
    <w:charset w:val="00"/>
    <w:family w:val="swiss"/>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635" w:hanging="555"/>
      </w:pPr>
      <w:rPr>
        <w:rFonts w:ascii="Gill Sans MT" w:hAnsi="Gill Sans MT" w:cs="Gill Sans MT"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1">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Calibri" w:hAnsi="Calibri" w:eastAsia="Cambria" w:cs=""/>
      <w:color w:val="auto"/>
      <w:kern w:val="0"/>
      <w:sz w:val="24"/>
      <w:szCs w:val="24"/>
      <w:lang w:val="en-US" w:eastAsia="en-US" w:bidi="ar-SA"/>
    </w:rPr>
  </w:style>
  <w:style w:type="paragraph" w:styleId="Heading1">
    <w:name w:val="Heading 1"/>
    <w:basedOn w:val="Normal"/>
    <w:next w:val="Normal"/>
    <w:qFormat/>
    <w:pPr>
      <w:keepNext w:val="true"/>
      <w:numPr>
        <w:ilvl w:val="0"/>
        <w:numId w:val="1"/>
      </w:numPr>
      <w:spacing w:before="240" w:after="60"/>
      <w:outlineLvl w:val="0"/>
    </w:pPr>
    <w:rPr>
      <w:rFonts w:ascii="Arial" w:hAnsi="Arial" w:eastAsia="Times New Roman" w:cs="Arial"/>
      <w:b/>
      <w:bCs/>
      <w:kern w:val="2"/>
      <w:sz w:val="32"/>
      <w:szCs w:val="32"/>
      <w:lang w:val="en-GB" w:eastAsia="en-GB"/>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Gill Sans MT" w:hAnsi="Gill Sans MT" w:cs="Times New Roman"/>
    </w:rPr>
  </w:style>
  <w:style w:type="character" w:styleId="WW8Num2z2">
    <w:name w:val="WW8Num2z2"/>
    <w:qFormat/>
    <w:rPr>
      <w:rFonts w:ascii="Wingdings" w:hAnsi="Wingdings" w:cs="Wingdings"/>
    </w:rPr>
  </w:style>
  <w:style w:type="character" w:styleId="WW8Num2z4">
    <w:name w:val="WW8Num2z4"/>
    <w:qFormat/>
    <w:rPr>
      <w:rFonts w:ascii="Courier New" w:hAnsi="Courier New" w:cs="Courier New"/>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rFonts w:ascii="Symbol" w:hAnsi="Symbol" w:cs="Symbol"/>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Arial"/>
      <w:b/>
      <w:bCs/>
      <w:kern w:val="2"/>
      <w:sz w:val="32"/>
      <w:szCs w:val="32"/>
      <w:lang w:val="en-GB" w:eastAsia="en-GB"/>
    </w:rPr>
  </w:style>
  <w:style w:type="character" w:styleId="main">
    <w:name w:val="main"/>
    <w:basedOn w:val="DefaultParagraphFont"/>
    <w:qFormat/>
    <w:rPr/>
  </w:style>
  <w:style w:type="character" w:styleId="BalloonTextChar">
    <w:name w:val="Balloon Text Char"/>
    <w:basedOn w:val="DefaultParagraphFont"/>
    <w:qFormat/>
    <w:rPr>
      <w:rFonts w:ascii="Segoe UI" w:hAnsi="Segoe UI" w:cs="Segoe UI"/>
      <w:sz w:val="18"/>
      <w:szCs w:val="18"/>
    </w:rPr>
  </w:style>
  <w:style w:type="character" w:styleId="BodyTextChar">
    <w:name w:val="Body Text Char"/>
    <w:basedOn w:val="DefaultParagraphFont"/>
    <w:qFormat/>
    <w:rPr>
      <w:rFonts w:ascii="Times New Roman" w:hAnsi="Times New Roman" w:eastAsia="Times New Roman" w:cs="Times New Roman"/>
      <w:szCs w:val="20"/>
      <w:lang w:val="en-GB" w:eastAsia="en-GB"/>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rFonts w:ascii="Times New Roman" w:hAnsi="Times New Roman" w:eastAsia="Times New Roman" w:cs="Times New Roman"/>
      <w:szCs w:val="20"/>
      <w:lang w:val="en-GB" w:eastAsia="en-G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0"/>
      <w:ind w:hanging="0" w:left="720" w:right="0"/>
      <w:contextualSpacing/>
    </w:pPr>
    <w:rPr/>
  </w:style>
  <w:style w:type="paragraph" w:styleId="BalloonText">
    <w:name w:val="Balloon Text"/>
    <w:basedOn w:val="Normal"/>
    <w:qFormat/>
    <w:pPr/>
    <w:rPr>
      <w:rFonts w:ascii="Segoe UI" w:hAnsi="Segoe UI" w:cs="Segoe UI"/>
      <w:sz w:val="18"/>
      <w:szCs w:val="18"/>
    </w:rPr>
  </w:style>
  <w:style w:type="paragraph" w:styleId="Default">
    <w:name w:val="Default"/>
    <w:qFormat/>
    <w:pPr>
      <w:widowControl/>
      <w:suppressAutoHyphens w:val="true"/>
      <w:bidi w:val="0"/>
      <w:spacing w:before="0" w:after="0"/>
      <w:jc w:val="left"/>
    </w:pPr>
    <w:rPr>
      <w:rFonts w:ascii="Arial" w:hAnsi="Arial" w:eastAsia="Cambria" w:cs="Arial"/>
      <w:color w:val="000000"/>
      <w:kern w:val="0"/>
      <w:sz w:val="24"/>
      <w:szCs w:val="24"/>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84</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