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b/>
          <w:b/>
          <w:bCs/>
          <w:sz w:val="40"/>
          <w:szCs w:val="40"/>
        </w:rPr>
      </w:pPr>
      <w: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
          <w:bCs/>
          <w:sz w:val="40"/>
          <w:szCs w:val="40"/>
        </w:rPr>
        <w:t>J</w:t>
      </w:r>
      <w:r>
        <w:rPr>
          <w:b/>
          <w:bCs/>
          <w:sz w:val="40"/>
          <w:szCs w:val="40"/>
        </w:rPr>
        <w:t>ob Description</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 xml:space="preserve">Children’s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Social Worker </w:t>
            </w:r>
          </w:p>
          <w:p>
            <w:pPr>
              <w:pStyle w:val="Normal"/>
              <w:spacing w:lineRule="auto" w:line="240" w:before="0" w:after="0"/>
              <w:rPr>
                <w:rFonts w:ascii="Arial" w:hAnsi="Arial" w:cs="Arial"/>
              </w:rPr>
            </w:pPr>
            <w:r>
              <w:rPr>
                <w:rFonts w:cs="Arial" w:ascii="Arial" w:hAnsi="Arial"/>
              </w:rPr>
              <w:t xml:space="preserve">Safeguarding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H for Social Worker</w:t>
            </w:r>
          </w:p>
          <w:p>
            <w:pPr>
              <w:pStyle w:val="Normal"/>
              <w:spacing w:lineRule="auto" w:line="240" w:before="0" w:after="0"/>
              <w:rPr>
                <w:rFonts w:ascii="Arial" w:hAnsi="Arial" w:cs="Arial"/>
              </w:rPr>
            </w:pPr>
            <w:r>
              <w:rPr>
                <w:rFonts w:cs="Arial" w:ascii="Arial" w:hAnsi="Arial"/>
              </w:rPr>
              <w:t xml:space="preserve">Grade I for Experienced Social Worker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and enable the Department to provide, an efficient and effective social work service to children in need and their families.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Team manager- Safeguarding team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None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The provision of a purposeful, professional social work service to children in need, children subject to child protection and care proceedings and their families, including the assessment of their needs, in accordance with statutory requirements, court timetables and Departmental policies.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To develop professional skills in working with children and young people to understand their journey, day-to-day life and to promote their voice through direct work and recording of this.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To complete assessments of children and their families, utilising the Assessment Framework, other assessment tools, theory and research to underpin this. Alongside developing skills in understanding and managing risk.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To devise SMART plans and develop strategies of intervention with parents and carers to promote positive outcomes.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work directly with service users employing a range of social work knowledge, skills, methods and techniques.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assess, evaluate and review programmes of work with service users, including the coordination and organisation of services both within and outside the Department.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work with Legal Services and the Courts, including the production of reports within agreed timescales.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To contribute to the planning and development of the Team’s and the Department’s services to children and families, as required and as appropriate.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240" w:after="200"/>
              <w:jc w:val="both"/>
              <w:rPr>
                <w:rFonts w:ascii="Arial" w:hAnsi="Arial" w:cs="Arial"/>
              </w:rPr>
            </w:pPr>
            <w:r>
              <w:rPr>
                <w:rFonts w:cs="Arial" w:ascii="Arial" w:hAnsi="Arial"/>
              </w:rPr>
              <w:t>To provide professional knowledge, ideas, advice, evaluation and information to assist in the Department’s planning and development activities and to contribute to policies and standards.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maintain appropriate case recordings applicable to the service provided to service users in accordance with requirements of GDPR, the Liquid Logic system and the administration system.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attend reviews, case conferences, child action meetings and court related meetings and be able to present a summary of information as the Lead Professional or Chair and provide the appropriate advice, information and support to such forums.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complete visits to children and families within the guidelines of the Departments policies and procedures and ensure these are recorded promptly.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To plan, implement and review care plans for children looked after to ensure permanence plans are in place.</w:t>
            </w:r>
          </w:p>
          <w:p>
            <w:pPr>
              <w:pStyle w:val="Normal"/>
              <w:spacing w:lineRule="auto" w:line="240" w:before="0" w:after="0"/>
              <w:jc w:val="both"/>
              <w:rPr>
                <w:rFonts w:ascii="Arial" w:hAnsi="Arial" w:cs="Arial"/>
                <w:b/>
                <w:b/>
                <w:bCs/>
              </w:rPr>
            </w:pPr>
            <w:r>
              <w:rPr>
                <w:rFonts w:cs="Arial" w:ascii="Arial" w:hAnsi="Arial"/>
                <w:b/>
                <w:bCs/>
              </w:rPr>
              <w:t>Main duties for Grade I in addition to the above: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 xml:space="preserve">To be the social work case holder and provide intervention for the more complex cases within their particular service area, including the likely requirement of presenting evidence and taking challenge in the Court arena, ensuring that service standards are maintained at all times. </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To contribute to the planning and development of the Team and Departmental services to children and families as required and as appropriate.</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8829" w:type="dxa"/>
            <w:gridSpan w:val="2"/>
            <w:tcBorders/>
            <w:shd w:fill="auto" w:val="clear"/>
          </w:tcPr>
          <w:p>
            <w:pPr>
              <w:pStyle w:val="Normal"/>
              <w:spacing w:lineRule="auto" w:line="240" w:before="0" w:after="0"/>
              <w:rPr>
                <w:rFonts w:ascii="Arial" w:hAnsi="Arial" w:eastAsia="Calibri" w:cs="Arial"/>
              </w:rPr>
            </w:pPr>
            <w:r>
              <w:rPr>
                <w:rFonts w:eastAsia="Calibri" w:cs="Arial" w:ascii="Arial" w:hAnsi="Arial"/>
              </w:rPr>
              <w:t>To participate in the organisation and administration of the work of the post to ensure the provision of service is completed.</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17</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 xml:space="preserve">To provide management information to assist in the setting, implementing and monitoring of the Departmental strategies and services. </w:t>
            </w:r>
          </w:p>
          <w:p>
            <w:pPr>
              <w:pStyle w:val="Normal"/>
              <w:spacing w:lineRule="auto" w:line="240" w:before="0" w:after="0"/>
              <w:rPr>
                <w:rFonts w:ascii="Arial" w:hAnsi="Arial" w:eastAsia="Calibri" w:cs="Arial"/>
              </w:rPr>
            </w:pPr>
            <w:r>
              <w:rPr>
                <w:rFonts w:eastAsia="Calibri"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18</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To assess, evaluate and review programmes of work including the coordination and organisation of services both within and outside the Department.</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19</w:t>
            </w:r>
          </w:p>
        </w:tc>
        <w:tc>
          <w:tcPr>
            <w:tcW w:w="8829" w:type="dxa"/>
            <w:gridSpan w:val="2"/>
            <w:tcBorders/>
            <w:shd w:fill="auto" w:val="clear"/>
          </w:tcPr>
          <w:p>
            <w:pPr>
              <w:pStyle w:val="Normal"/>
              <w:spacing w:lineRule="auto" w:line="240" w:before="0" w:after="0"/>
              <w:rPr>
                <w:rFonts w:ascii="Arial" w:hAnsi="Arial" w:eastAsia="Calibri" w:cs="Arial"/>
              </w:rPr>
            </w:pPr>
            <w:r>
              <w:rPr>
                <w:rFonts w:eastAsia="Calibri" w:cs="Arial" w:ascii="Arial" w:hAnsi="Arial"/>
              </w:rPr>
              <w:t>To provide support to ASYEs in their casework activity including co-working, modelling, coaching and mentoring here required.</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20</w:t>
            </w:r>
          </w:p>
        </w:tc>
        <w:tc>
          <w:tcPr>
            <w:tcW w:w="8829" w:type="dxa"/>
            <w:gridSpan w:val="2"/>
            <w:tcBorders/>
            <w:shd w:fill="auto" w:val="clear"/>
          </w:tcPr>
          <w:p>
            <w:pPr>
              <w:pStyle w:val="Normal"/>
              <w:spacing w:lineRule="auto" w:line="240" w:before="0" w:after="0"/>
              <w:rPr>
                <w:rFonts w:ascii="Arial" w:hAnsi="Arial" w:eastAsia="Calibri" w:cs="Arial"/>
              </w:rPr>
            </w:pPr>
            <w:r>
              <w:rPr>
                <w:rFonts w:eastAsia="Calibri" w:cs="Arial" w:ascii="Arial" w:hAnsi="Arial"/>
              </w:rPr>
              <w:t>To act as a champion for service development and improvement within Safeguarding and Early Help, role modelling Research into Practice and undertaking high quality assessments.</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21</w:t>
            </w:r>
          </w:p>
        </w:tc>
        <w:tc>
          <w:tcPr>
            <w:tcW w:w="8829" w:type="dxa"/>
            <w:gridSpan w:val="2"/>
            <w:tcBorders/>
            <w:shd w:fill="auto" w:val="clear"/>
          </w:tcPr>
          <w:p>
            <w:pPr>
              <w:pStyle w:val="Normal"/>
              <w:spacing w:lineRule="auto" w:line="240" w:before="0" w:after="0"/>
              <w:rPr>
                <w:rFonts w:ascii="Arial" w:hAnsi="Arial" w:eastAsia="Calibri" w:cs="Arial"/>
              </w:rPr>
            </w:pPr>
            <w:r>
              <w:rPr>
                <w:rFonts w:eastAsia="Calibri" w:cs="Arial" w:ascii="Arial" w:hAnsi="Arial"/>
              </w:rPr>
              <w:t>To carry out the role of Practice Educator/Teacher for Social Work students in accordance with their own Personal Development Plan.</w:t>
            </w:r>
          </w:p>
          <w:p>
            <w:pPr>
              <w:pStyle w:val="Normal"/>
              <w:spacing w:lineRule="auto" w:line="240" w:before="0" w:after="0"/>
              <w:rPr>
                <w:rFonts w:ascii="Arial" w:hAnsi="Arial" w:eastAsia="Calibri" w:cs="Arial"/>
              </w:rPr>
            </w:pPr>
            <w:r>
              <w:rPr>
                <w:rFonts w:eastAsia="Calibri"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22</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To undertake specific service improvement work in other parts of the service as and when required, bringing expertise and innovation to tackle areas of poor performance.</w:t>
            </w:r>
          </w:p>
          <w:p>
            <w:pPr>
              <w:pStyle w:val="Normal"/>
              <w:spacing w:lineRule="auto" w:line="240" w:before="0" w:after="0"/>
              <w:rPr>
                <w:rFonts w:ascii="Arial" w:hAnsi="Arial" w:eastAsia="Calibri" w:cs="Arial"/>
              </w:rPr>
            </w:pPr>
            <w:r>
              <w:rPr>
                <w:rFonts w:eastAsia="Calibri"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23</w:t>
            </w:r>
          </w:p>
        </w:tc>
        <w:tc>
          <w:tcPr>
            <w:tcW w:w="8829" w:type="dxa"/>
            <w:gridSpan w:val="2"/>
            <w:tcBorders/>
            <w:shd w:fill="auto" w:val="clear"/>
          </w:tcPr>
          <w:p>
            <w:pPr>
              <w:pStyle w:val="Normal"/>
              <w:spacing w:lineRule="auto" w:line="240" w:before="0" w:after="0"/>
              <w:rPr>
                <w:rFonts w:ascii="Arial" w:hAnsi="Arial" w:eastAsia="Calibri" w:cs="Arial"/>
              </w:rPr>
            </w:pPr>
            <w:r>
              <w:rPr>
                <w:rFonts w:eastAsia="Calibri" w:cs="Arial" w:ascii="Arial" w:hAnsi="Arial"/>
              </w:rPr>
              <w:t>To undertake identified practice research and participate in dissemination of learning.</w:t>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24</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To provide social work input to consultation exercises relating to new systems and practice.</w:t>
            </w:r>
          </w:p>
          <w:p>
            <w:pPr>
              <w:pStyle w:val="Normal"/>
              <w:spacing w:lineRule="auto" w:line="240" w:before="0" w:after="0"/>
              <w:rPr>
                <w:rFonts w:ascii="Arial" w:hAnsi="Arial" w:eastAsia="Calibri" w:cs="Arial"/>
              </w:rPr>
            </w:pPr>
            <w:r>
              <w:rPr>
                <w:rFonts w:eastAsia="Calibri"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25</w:t>
            </w:r>
          </w:p>
        </w:tc>
        <w:tc>
          <w:tcPr>
            <w:tcW w:w="8829" w:type="dxa"/>
            <w:gridSpan w:val="2"/>
            <w:tcBorders/>
            <w:shd w:fill="auto" w:val="clear"/>
          </w:tcPr>
          <w:p>
            <w:pPr>
              <w:pStyle w:val="Normal"/>
              <w:spacing w:lineRule="auto" w:line="240" w:before="0" w:after="0"/>
              <w:rPr>
                <w:rFonts w:ascii="Arial" w:hAnsi="Arial" w:eastAsia="Calibri" w:cs="Arial"/>
                <w:color w:val="000000"/>
              </w:rPr>
            </w:pPr>
            <w:r>
              <w:rPr>
                <w:rFonts w:eastAsia="Calibri" w:cs="Arial" w:ascii="Arial" w:hAnsi="Arial"/>
                <w:color w:val="000000"/>
              </w:rPr>
              <w:t>To undertake any other reasonable tasks and duties as requested by senior managers for the benefit of the Service or for the children and families in Bolton.</w:t>
            </w:r>
          </w:p>
          <w:p>
            <w:pPr>
              <w:pStyle w:val="Normal"/>
              <w:spacing w:lineRule="auto" w:line="240" w:before="0" w:after="0"/>
              <w:rPr>
                <w:rFonts w:ascii="Arial" w:hAnsi="Arial" w:eastAsia="Calibri" w:cs="Arial"/>
                <w:color w:val="000000"/>
              </w:rPr>
            </w:pPr>
            <w:r>
              <w:rPr>
                <w:rFonts w:eastAsia="Calibri" w:cs="Arial" w:ascii="Arial" w:hAnsi="Arial"/>
                <w:color w:val="000000"/>
              </w:rPr>
            </w:r>
          </w:p>
          <w:p>
            <w:pPr>
              <w:pStyle w:val="Normal"/>
              <w:spacing w:lineRule="auto" w:line="240" w:before="0" w:after="0"/>
              <w:rPr>
                <w:rFonts w:ascii="Arial" w:hAnsi="Arial" w:eastAsia="Calibri" w:cs="Arial"/>
                <w:color w:val="000000"/>
              </w:rPr>
            </w:pPr>
            <w:r>
              <w:rPr>
                <w:rFonts w:eastAsia="Calibri" w:cs="Arial" w:ascii="Arial" w:hAnsi="Arial"/>
                <w:color w:val="000000"/>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Cs/>
              </w:rPr>
            </w:pPr>
            <w:r>
              <w:rPr>
                <w:rFonts w:cs="Arial" w:ascii="Arial" w:hAnsi="Arial"/>
                <w:bCs/>
              </w:rPr>
              <w:t>Judith Wilkinson</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Cs/>
              </w:rPr>
            </w:pPr>
            <w:r>
              <w:rPr>
                <w:rFonts w:cs="Arial" w:ascii="Arial" w:hAnsi="Arial"/>
                <w:bCs/>
              </w:rPr>
              <w:t>November 2023</w:t>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tc>
      </w:tr>
      <w:tr>
        <w:trPr/>
        <w:tc>
          <w:tcPr>
            <w:tcW w:w="4572" w:type="dxa"/>
            <w:gridSpan w:val="2"/>
            <w:tcBorders/>
            <w:shd w:fill="auto" w:val="clear"/>
          </w:tcPr>
          <w:p>
            <w:pPr>
              <w:pStyle w:val="Normal"/>
              <w:snapToGrid w:val="false"/>
              <w:spacing w:lineRule="auto" w:line="240" w:before="0" w:after="0"/>
              <w:rPr>
                <w:rFonts w:ascii="Arial" w:hAnsi="Arial" w:cs="Arial"/>
                <w:b/>
                <w:b/>
                <w:bCs/>
              </w:rPr>
            </w:pPr>
            <w:r>
              <w:rPr>
                <w:rFonts w:cs="Arial" w:ascii="Arial" w:hAnsi="Arial"/>
                <w:b/>
                <w:bCs/>
              </w:rPr>
            </w:r>
          </w:p>
        </w:tc>
        <w:tc>
          <w:tcPr>
            <w:tcW w:w="5065" w:type="dxa"/>
            <w:tcBorders/>
            <w:shd w:fill="auto" w:val="clear"/>
          </w:tcPr>
          <w:p>
            <w:pPr>
              <w:pStyle w:val="Normal"/>
              <w:snapToGrid w:val="false"/>
              <w:spacing w:lineRule="auto" w:line="240" w:before="0" w:after="0"/>
              <w:rPr>
                <w:rFonts w:ascii="Arial" w:hAnsi="Arial" w:cs="Arial"/>
                <w:b/>
                <w:b/>
                <w:bCs/>
              </w:rPr>
            </w:pPr>
            <w:r>
              <w:rPr>
                <w:rFonts w:cs="Arial" w:ascii="Arial" w:hAnsi="Arial"/>
                <w:b/>
                <w:bCs/>
              </w:rPr>
            </w:r>
          </w:p>
        </w:tc>
      </w:tr>
    </w:tbl>
    <w:p>
      <w:pPr>
        <w:pStyle w:val="Normal"/>
        <w:jc w:val="center"/>
        <w:rPr>
          <w:rFonts w:ascii="Arial" w:hAnsi="Arial" w:cs="Arial"/>
          <w:b/>
          <w:b/>
          <w:bCs/>
          <w:u w:val="single"/>
        </w:rPr>
      </w:pPr>
      <w:r>
        <w:rPr>
          <w:rFonts w:cs="Arial" w:ascii="Arial" w:hAnsi="Arial"/>
          <w:b/>
          <w:bCs/>
          <w:u w:val="single"/>
        </w:rPr>
        <w:t>Information for Social Workers</w:t>
      </w:r>
    </w:p>
    <w:p>
      <w:pPr>
        <w:pStyle w:val="Normal"/>
        <w:rPr>
          <w:rFonts w:ascii="Arial" w:hAnsi="Arial" w:cs="Arial"/>
          <w:b/>
          <w:b/>
          <w:bCs/>
          <w:u w:val="single"/>
        </w:rPr>
      </w:pPr>
      <w:r>
        <w:rPr>
          <w:rFonts w:cs="Arial" w:ascii="Arial" w:hAnsi="Arial"/>
          <w:b/>
          <w:bCs/>
          <w:u w:val="single"/>
        </w:rPr>
        <w:t>Criteria for appointment at Grade I (Senior Social Workers)</w:t>
      </w:r>
    </w:p>
    <w:p>
      <w:pPr>
        <w:pStyle w:val="Normal"/>
        <w:jc w:val="both"/>
        <w:rPr>
          <w:rFonts w:ascii="Arial" w:hAnsi="Arial" w:cs="Arial"/>
        </w:rPr>
      </w:pPr>
      <w:r>
        <w:rPr>
          <w:rFonts w:cs="Arial" w:ascii="Arial" w:hAnsi="Arial"/>
        </w:rPr>
        <w:t>(Grade I) experienced Social Workers (Senior Social Workers) are expected to demonstrate expert and effective practice in complex situations, assessing and managing high levels of risk, striking a balance between support and control, liaising with a wide range of professionals, including more senior levels. They manage complex caseloads and offer expert opinion within the organisation and to others. They chair a range of meetings and offer expert support to case conferences or Looked After Children’s Review Meetings. They will model good practice, thus setting expectations for others, and support and mentor others with their practice.</w:t>
      </w:r>
    </w:p>
    <w:p>
      <w:pPr>
        <w:pStyle w:val="Normal"/>
        <w:jc w:val="both"/>
        <w:rPr>
          <w:rFonts w:ascii="Arial" w:hAnsi="Arial" w:cs="Arial"/>
        </w:rPr>
      </w:pPr>
      <w:r>
        <w:rPr>
          <w:rFonts w:cs="Arial" w:ascii="Arial" w:hAnsi="Arial"/>
        </w:rPr>
        <w:t>Appointment to Grade I for Social Workers in Bolton will be made in cases where qualified and experienced Social Worker applicants provides documentary evidence that they have progressed through the ‘bar’ with a previous employer through a portfolio and evidence process, with their progression having been confirmed by a progression panel.</w:t>
      </w:r>
    </w:p>
    <w:p>
      <w:pPr>
        <w:pStyle w:val="Normal"/>
        <w:jc w:val="both"/>
        <w:rPr>
          <w:rFonts w:ascii="Arial" w:hAnsi="Arial" w:cs="Arial"/>
        </w:rPr>
      </w:pPr>
      <w:r>
        <w:rPr>
          <w:rFonts w:cs="Arial" w:ascii="Arial" w:hAnsi="Arial"/>
        </w:rPr>
        <w:t>Progression to Grade I for existing Grade H Social Workers in Bolton will be achieved by successful completion of the Progression Pathway.</w:t>
      </w:r>
    </w:p>
    <w:p>
      <w:pPr>
        <w:pStyle w:val="Normal"/>
        <w:jc w:val="both"/>
        <w:rPr>
          <w:rFonts w:ascii="Arial" w:hAnsi="Arial" w:cs="Arial"/>
        </w:rPr>
      </w:pPr>
      <w:r>
        <w:rPr>
          <w:rFonts w:cs="Arial" w:ascii="Arial" w:hAnsi="Arial"/>
        </w:rPr>
        <w:t>Should you have any queries relating to this information, please speak to the recruiting manager or the Departmental HR Team.</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74"/>
        <w:gridCol w:w="914"/>
        <w:gridCol w:w="134"/>
        <w:gridCol w:w="4090"/>
        <w:gridCol w:w="393"/>
        <w:gridCol w:w="3423"/>
        <w:gridCol w:w="10"/>
      </w:tblGrid>
      <w:tr>
        <w:trPr/>
        <w:tc>
          <w:tcPr>
            <w:tcW w:w="1588" w:type="dxa"/>
            <w:gridSpan w:val="2"/>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40" w:type="dxa"/>
            <w:gridSpan w:val="4"/>
            <w:tcBorders/>
            <w:shd w:fill="auto" w:val="clear"/>
          </w:tcPr>
          <w:p>
            <w:pPr>
              <w:pStyle w:val="Normal"/>
              <w:spacing w:lineRule="auto" w:line="240" w:before="60" w:after="60"/>
              <w:rPr>
                <w:rFonts w:ascii="Arial" w:hAnsi="Arial" w:cs="Arial"/>
                <w:b/>
                <w:b/>
              </w:rPr>
            </w:pPr>
            <w:r>
              <w:rPr>
                <w:rFonts w:cs="Arial" w:ascii="Arial" w:hAnsi="Arial"/>
                <w:b/>
              </w:rPr>
              <w:t xml:space="preserve">Children’s </w:t>
            </w:r>
          </w:p>
        </w:tc>
      </w:tr>
      <w:tr>
        <w:trPr/>
        <w:tc>
          <w:tcPr>
            <w:tcW w:w="1588" w:type="dxa"/>
            <w:gridSpan w:val="2"/>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40" w:type="dxa"/>
            <w:gridSpan w:val="4"/>
            <w:tcBorders>
              <w:bottom w:val="single" w:sz="4" w:space="0" w:color="000000"/>
            </w:tcBorders>
            <w:shd w:fill="auto" w:val="clear"/>
          </w:tcPr>
          <w:p>
            <w:pPr>
              <w:pStyle w:val="Normal"/>
              <w:spacing w:lineRule="auto" w:line="240" w:before="60" w:after="60"/>
              <w:rPr>
                <w:rFonts w:ascii="Arial" w:hAnsi="Arial" w:cs="Arial"/>
              </w:rPr>
            </w:pPr>
            <w:r>
              <w:rPr>
                <w:rFonts w:cs="Arial" w:ascii="Arial" w:hAnsi="Arial"/>
              </w:rPr>
              <w:t>Social Worker- (Children’s)</w:t>
            </w:r>
          </w:p>
        </w:tc>
      </w:tr>
      <w:tr>
        <w:trPr/>
        <w:tc>
          <w:tcPr>
            <w:tcW w:w="1588" w:type="dxa"/>
            <w:gridSpan w:val="2"/>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5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5"/>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74"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54" w:type="dxa"/>
            <w:gridSpan w:val="5"/>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knowledge of a range of social work skills, methods and techniques appropriate to children and families work.</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Knowledge of Social Work law and practice. </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of current practice and research issues relating to childcare work.</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demonstrate knowledge of theory and how this is used to inform practice.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organise and prioritise within appropriate timescales when under pressure.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understanding of the role and expectations of supervision.</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Commitment to work as a member of a team member and support colleagues.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of interventions and applying appropriate methods and techniques in order to deliver improved outcomes for children.</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Demonstrate effective verbal and written communication skills in order to complete assessment reports, including analysis to reach conclusions and articulate this information as appropriate.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31" w:type="dxa"/>
            <w:gridSpan w:val="4"/>
            <w:tcBorders>
              <w:bottom w:val="single" w:sz="4" w:space="0" w:color="000000"/>
            </w:tcBorders>
            <w:shd w:fill="auto" w:val="clear"/>
          </w:tcPr>
          <w:p>
            <w:pPr>
              <w:pStyle w:val="Normal"/>
              <w:spacing w:lineRule="auto" w:line="240" w:before="120" w:after="120"/>
              <w:ind w:left="0" w:right="175" w:hanging="0"/>
              <w:rPr/>
            </w:pPr>
            <w:r>
              <w:rPr>
                <w:rFonts w:cs="Arial" w:ascii="Arial" w:hAnsi="Arial"/>
                <w:b/>
              </w:rPr>
              <w:t>Health and Safety</w:t>
            </w:r>
            <w:r>
              <w:rPr>
                <w:rFonts w:cs="Arial" w:ascii="Arial" w:hAnsi="Arial"/>
              </w:rPr>
              <w:t xml:space="preserve"> - The ability to identify risk to self and others when undertaking work activities and appropriate actions needed to minimise risk.</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31" w:type="dxa"/>
            <w:gridSpan w:val="4"/>
            <w:tcBorders>
              <w:bottom w:val="single" w:sz="4" w:space="0" w:color="000000"/>
            </w:tcBorders>
            <w:shd w:fill="auto" w:val="clear"/>
          </w:tcPr>
          <w:p>
            <w:pPr>
              <w:pStyle w:val="Normal"/>
              <w:spacing w:lineRule="auto" w:line="240" w:before="120" w:after="120"/>
              <w:ind w:left="0" w:right="175" w:hanging="0"/>
              <w:rPr/>
            </w:pPr>
            <w:r>
              <w:rPr>
                <w:rFonts w:cs="Arial" w:ascii="Arial" w:hAnsi="Arial"/>
                <w:b/>
              </w:rPr>
              <w:t>Confidentiality</w:t>
            </w:r>
            <w:r>
              <w:rPr>
                <w:rFonts w:cs="Arial" w:ascii="Arial" w:hAnsi="Arial"/>
              </w:rPr>
              <w:t xml:space="preserve"> - A knowledge and understanding of the National, Corporate and Departmental Policies on Confidentiality, and the management and sharing of information</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12.</w:t>
            </w:r>
          </w:p>
        </w:tc>
        <w:tc>
          <w:tcPr>
            <w:tcW w:w="5531" w:type="dxa"/>
            <w:gridSpan w:val="4"/>
            <w:tcBorders>
              <w:bottom w:val="single" w:sz="4" w:space="0" w:color="000000"/>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b/>
                <w:b/>
              </w:rPr>
            </w:pPr>
            <w:r>
              <w:rPr>
                <w:rFonts w:cs="Arial" w:ascii="Arial" w:hAnsi="Arial"/>
                <w:b/>
              </w:rPr>
              <w:t>For Grade I:</w:t>
            </w:r>
          </w:p>
        </w:tc>
        <w:tc>
          <w:tcPr>
            <w:tcW w:w="3423"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74"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13. </w:t>
            </w:r>
          </w:p>
        </w:tc>
        <w:tc>
          <w:tcPr>
            <w:tcW w:w="5531" w:type="dxa"/>
            <w:gridSpan w:val="4"/>
            <w:tcBorders>
              <w:top w:val="single" w:sz="4" w:space="0" w:color="000000"/>
            </w:tcBorders>
            <w:shd w:fill="auto" w:val="clear"/>
          </w:tcPr>
          <w:p>
            <w:pPr>
              <w:pStyle w:val="Default"/>
              <w:spacing w:lineRule="auto" w:line="240" w:before="60" w:after="60"/>
              <w:rPr>
                <w:rFonts w:ascii="Arial" w:hAnsi="Arial" w:cs="Arial"/>
                <w:sz w:val="22"/>
                <w:szCs w:val="22"/>
              </w:rPr>
            </w:pPr>
            <w:r>
              <w:rPr>
                <w:rFonts w:cs="Arial" w:ascii="Arial" w:hAnsi="Arial"/>
                <w:sz w:val="22"/>
                <w:szCs w:val="22"/>
              </w:rPr>
              <w:t>Extensive experience of working as a Social Worker within a Children’s Services setting</w:t>
            </w:r>
          </w:p>
        </w:tc>
        <w:tc>
          <w:tcPr>
            <w:tcW w:w="3423"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w:t>
            </w:r>
          </w:p>
        </w:tc>
      </w:tr>
      <w:tr>
        <w:trPr>
          <w:cantSplit w:val="true"/>
        </w:trPr>
        <w:tc>
          <w:tcPr>
            <w:tcW w:w="674"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14.</w:t>
            </w:r>
          </w:p>
        </w:tc>
        <w:tc>
          <w:tcPr>
            <w:tcW w:w="5531" w:type="dxa"/>
            <w:gridSpan w:val="4"/>
            <w:tcBorders>
              <w:top w:val="single" w:sz="4" w:space="0" w:color="000000"/>
            </w:tcBorders>
            <w:shd w:fill="auto" w:val="clear"/>
          </w:tcPr>
          <w:p>
            <w:pPr>
              <w:pStyle w:val="Default"/>
              <w:spacing w:lineRule="auto" w:line="240" w:before="60" w:after="60"/>
              <w:rPr>
                <w:rFonts w:ascii="Arial" w:hAnsi="Arial" w:cs="Arial"/>
                <w:sz w:val="22"/>
                <w:szCs w:val="22"/>
              </w:rPr>
            </w:pPr>
            <w:r>
              <w:rPr>
                <w:rFonts w:cs="Arial" w:ascii="Arial" w:hAnsi="Arial"/>
                <w:sz w:val="22"/>
                <w:szCs w:val="22"/>
              </w:rPr>
              <w:t>Extensive knowledge of Children and Families public and private legal proceedings.</w:t>
            </w:r>
          </w:p>
        </w:tc>
        <w:tc>
          <w:tcPr>
            <w:tcW w:w="3423"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15.</w:t>
            </w:r>
          </w:p>
        </w:tc>
        <w:tc>
          <w:tcPr>
            <w:tcW w:w="5531" w:type="dxa"/>
            <w:gridSpan w:val="4"/>
            <w:tcBorders>
              <w:top w:val="single" w:sz="4" w:space="0" w:color="000000"/>
            </w:tcBorders>
            <w:shd w:fill="auto" w:val="clear"/>
          </w:tcPr>
          <w:p>
            <w:pPr>
              <w:pStyle w:val="Default"/>
              <w:spacing w:lineRule="auto" w:line="240" w:before="60" w:after="60"/>
              <w:rPr>
                <w:rFonts w:ascii="Arial" w:hAnsi="Arial" w:cs="Arial"/>
                <w:sz w:val="22"/>
                <w:szCs w:val="22"/>
              </w:rPr>
            </w:pPr>
            <w:r>
              <w:rPr>
                <w:rFonts w:cs="Arial" w:ascii="Arial" w:hAnsi="Arial"/>
                <w:sz w:val="22"/>
                <w:szCs w:val="22"/>
              </w:rPr>
              <w:t>A detailed understanding of legislation, regulations and statutory guidance relating to Children's Services.</w:t>
            </w:r>
          </w:p>
        </w:tc>
        <w:tc>
          <w:tcPr>
            <w:tcW w:w="3423"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16</w:t>
            </w:r>
          </w:p>
        </w:tc>
        <w:tc>
          <w:tcPr>
            <w:tcW w:w="5531" w:type="dxa"/>
            <w:gridSpan w:val="4"/>
            <w:tcBorders>
              <w:top w:val="single" w:sz="4" w:space="0" w:color="000000"/>
            </w:tcBorders>
            <w:shd w:fill="auto" w:val="clear"/>
          </w:tcPr>
          <w:p>
            <w:pPr>
              <w:pStyle w:val="Default"/>
              <w:spacing w:lineRule="auto" w:line="240" w:before="60" w:after="60"/>
              <w:rPr>
                <w:rFonts w:ascii="Arial" w:hAnsi="Arial" w:cs="Arial"/>
                <w:sz w:val="22"/>
                <w:szCs w:val="22"/>
              </w:rPr>
            </w:pPr>
            <w:r>
              <w:rPr>
                <w:rFonts w:cs="Arial" w:ascii="Arial" w:hAnsi="Arial"/>
                <w:sz w:val="22"/>
                <w:szCs w:val="22"/>
              </w:rPr>
              <w:t>To be responsible for the delivery of high-quality services by developing and implementing quality assurance systems, to monitor maintain and evaluate the division’s performance, services and processes.</w:t>
            </w:r>
          </w:p>
        </w:tc>
        <w:tc>
          <w:tcPr>
            <w:tcW w:w="3423"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CQSW/ DipSW/ CSS /Social Work Degree or equivalent.</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Social Work England Registration</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4"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8954"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b/>
                <w:b/>
              </w:rPr>
            </w:pPr>
            <w:r>
              <w:rPr>
                <w:rFonts w:cs="Arial" w:ascii="Arial" w:hAnsi="Arial"/>
                <w:b/>
              </w:rPr>
              <w:t>For Grade I:</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managing/mentoring staff or students where responsibility for the supervision, direction, co-ordination, training and development of staff can be evidenced.</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Substantial experience of multi-agency working and working in a local authority or voluntary agency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of carrying out risk assessments and managing complex cases and presenting evidence to Court </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Proven experience in Children’s Social Care including experience of managing field social work and child protection activity.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Evidence of post qualification award or ability and willingness to undertake specialist post graduate training/qualifications including the Practice teaching Award or experience of being a Practice educator</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nature and demands of the post holder’s time are not always predictable and there will be an expectation that work will be required outside of normal hours from time to time.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22"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5"/>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as a social worker supporting families in need of help and protection. </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understanding and undertaking Child Protection enquiries</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of providing long-term interventions with children and families in need of help and protection. </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tc>
          <w:tcPr>
            <w:tcW w:w="5812" w:type="dxa"/>
            <w:gridSpan w:val="4"/>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Cs/>
              </w:rPr>
            </w:pPr>
            <w:r>
              <w:rPr>
                <w:rFonts w:cs="Arial" w:ascii="Arial" w:hAnsi="Arial"/>
                <w:bCs/>
              </w:rPr>
              <w:t>November 2023</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Cs/>
              </w:rPr>
            </w:pPr>
            <w:r>
              <w:rPr>
                <w:rFonts w:cs="Arial" w:ascii="Arial" w:hAnsi="Arial"/>
                <w:bCs/>
              </w:rPr>
              <w:t>Judith Wilkinson</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November 2023</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
    <w:name w:val="Default"/>
    <w:qFormat/>
    <w:pPr>
      <w:widowControl/>
      <w:suppressAutoHyphens w:val="true"/>
      <w:bidi w:val="0"/>
      <w:spacing w:lineRule="auto" w:line="240" w:before="0" w:after="0"/>
      <w:jc w:val="left"/>
    </w:pPr>
    <w:rPr>
      <w:rFonts w:ascii="Calibri" w:hAnsi="Calibri" w:eastAsia="Calibri" w:cs="Calibri"/>
      <w:color w:val="000000"/>
      <w:kern w:val="0"/>
      <w:sz w:val="24"/>
      <w:szCs w:val="24"/>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2026-08-06T10:24:00Z</dcterms:created>
  <dc:creator>Johnson, Andrew</dc:creator>
  <dc:description/>
  <dc:language>en-US</dc:language>
  <cp:lastModifiedBy>Wardle, Sharon</cp:lastModifiedBy>
  <cp:lastPrinted>1995-11-21T17:41:00Z</cp:lastPrinted>
  <dcterms:modified xsi:type="dcterms:W3CDTF">2026-08-06T10:24:00Z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