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Playworker Level 1</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A</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assist with the operation of an out of school club for nursery and school age children.</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The children who attend the Out of School Club or Holiday Club.</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Assisting with the operation of a before-school (where before school care is offered), after school and holiday club in accordance with agreed policies. Ensuring the provision of high quality childcare and appropriate play opportunities for all children attending the club. Liaison with parents and other appropriate agencies.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full good quality and safe care for children including meeting individual needs, supervision of activities and outings, provision of refreshments.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and serve breakfast and healthy snacks for the children.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monies including fees, trip money and lunch money where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good quality, creative, appropriate play opportunities in a safe and child centred environment and via a Children's Rights-Based approach.</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support and a safe and secure environment for children with additional needs, i.e. autism, ADHD or a physical disability, after appropriate training.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activities and assist in programme planning.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encourage parental and community involvement and support for the club.</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support the development of the club, including striving to achieve any necessary standards or awards.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liaise with parents, schools and other agencies in order to promote the club and ensure the children’s well-being.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bookmarkStart w:id="0" w:name="_Hlk4243665"/>
            <w:r>
              <w:rPr>
                <w:rFonts w:cs="Arial"/>
              </w:rPr>
              <w:t>To administer first aid when appropriately qualified as requested.</w:t>
            </w:r>
            <w:bookmarkEnd w:id="0"/>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premises and equipment are kept in a clean and safe condition and to be responsible for security when necessary, in line with Health and Safety Legislation.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work within agreed policies and maintain good practice and to carry out all responsibilities within an equal opportunities framework.</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wear a uniform (if provided) and identification when working in the relevant Club.</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work flexibly including early mornings, afternoons and evenings.</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Playworker</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A</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child development and the importance of play.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provide and facilitate appropriate and creative play activities in a child centred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good quality childcare and how to care for children in a sensitive and responsible way.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Deal with difficult situations in a confident and responsible manner, in line with School policies.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respond to and meet children’s individual needs and rights and build appropriate relationships with them and their carers.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Accurately record and process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Organisational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Financial skills, in order to handle small amounts of money.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methods of communicating and be able to communicate both verbally and in writing in a clear and concise way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on own initiative.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Health and Safety at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and commitment to equal opportunities and be able to demonstrate this within the work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and ability to meet the needs of a multi-cultural community.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and ability to work with children with SEN or disabilities.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recognise when pupils are in danger of risk or harm and know what actions to take to protect them, in accordance with school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working with children in a play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undertake appropriate training.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work flexible hours and attend related meetings.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Appropriate qualification in Childcare or Playwork at NVQ Level 2.</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Paediatric First Aid.</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Basic Food Hygiene Certificate.</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Playworker Level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Playworker Level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Playworker Level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DS40171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DS40171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DS40171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2019-03-23T14:23:00Z</dcterms:created>
  <dc:creator>Aaron.Rullow@bolton.gov.uk</dc:creator>
  <dc:description/>
  <dc:language>en-US</dc:language>
  <cp:lastModifiedBy>Tremblen, Sam</cp:lastModifiedBy>
  <cp:lastPrinted>1995-11-21T17:41:00Z</cp:lastPrinted>
  <dcterms:modified xsi:type="dcterms:W3CDTF">2022-05-17T13:52:00Z</dcterms:modified>
  <cp:revision>5</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0x01010007EDF216CA1C1D438C91BA6F933AE925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