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fill="FFFFFF" w:val="clear"/>
        <w:spacing w:lineRule="auto" w:line="240" w:before="0" w:after="300"/>
        <w:ind w:left="0" w:hanging="0"/>
        <w:rPr>
          <w:rFonts w:ascii="Arial" w:hAnsi="Arial" w:eastAsia="Times New Roman" w:cs="Arial"/>
          <w:b/>
          <w:b/>
          <w:bCs/>
          <w:color w:val="0B0C0C"/>
          <w:sz w:val="36"/>
          <w:szCs w:val="36"/>
          <w:lang w:eastAsia="en-GB"/>
        </w:rPr>
      </w:pPr>
      <w:r>
        <w:rPr>
          <w:rFonts w:eastAsia="Times New Roman" w:cs="Arial" w:ascii="Arial" w:hAnsi="Arial"/>
          <w:b/>
          <w:bCs/>
          <w:color w:val="0B0C0C"/>
          <w:sz w:val="36"/>
          <w:szCs w:val="36"/>
          <w:lang w:eastAsia="en-GB"/>
        </w:rPr>
        <w:t>The 3 Route ID Checking Process</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You must use route 1 where possible. You can only move on to route 2 if the applicant is unable to present the documents needed in route 1.</w:t>
      </w:r>
    </w:p>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Route 1</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applicant must be able to show:</w:t>
      </w:r>
    </w:p>
    <w:p>
      <w:pPr>
        <w:pStyle w:val="Normal"/>
        <w:numPr>
          <w:ilvl w:val="0"/>
          <w:numId w:val="1"/>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one document from Group 1, below</w:t>
      </w:r>
    </w:p>
    <w:p>
      <w:pPr>
        <w:pStyle w:val="Normal"/>
        <w:numPr>
          <w:ilvl w:val="0"/>
          <w:numId w:val="1"/>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two further documents from either Group 1, or Group 2a, or 2b, below</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Route 2</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Route 2 can only be used if it’s impossible to process the application through Route 1.</w:t>
      </w:r>
    </w:p>
    <w:p>
      <w:pPr>
        <w:pStyle w:val="Normal"/>
        <w:shd w:fill="FFFFFF" w:val="clear"/>
        <w:spacing w:lineRule="auto" w:line="240" w:before="0" w:after="30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The organisation conducting the ID check must then also use an appropriate external ID verification service to check the application.</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If the applicant doesn’t have any of the documents in Group 1, then they must be able to show:</w:t>
      </w:r>
    </w:p>
    <w:p>
      <w:pPr>
        <w:pStyle w:val="Normal"/>
        <w:numPr>
          <w:ilvl w:val="0"/>
          <w:numId w:val="2"/>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one document from Group 2a</w:t>
      </w:r>
    </w:p>
    <w:p>
      <w:pPr>
        <w:pStyle w:val="Normal"/>
        <w:numPr>
          <w:ilvl w:val="0"/>
          <w:numId w:val="2"/>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two further documents from either Group 2a or 2b</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Route 3</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Route 3 can only be used if it’s impossible to process the application through Routes 1 or 2.</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For Route 3, the applicant must be able to show:</w:t>
      </w:r>
    </w:p>
    <w:p>
      <w:pPr>
        <w:pStyle w:val="Normal"/>
        <w:numPr>
          <w:ilvl w:val="0"/>
          <w:numId w:val="3"/>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 birth certificate issued after the time of birth (UK, Isle of Man and Channel Islands)</w:t>
      </w:r>
    </w:p>
    <w:p>
      <w:pPr>
        <w:pStyle w:val="Normal"/>
        <w:numPr>
          <w:ilvl w:val="0"/>
          <w:numId w:val="3"/>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one document from Group 2a</w:t>
      </w:r>
    </w:p>
    <w:p>
      <w:pPr>
        <w:pStyle w:val="Normal"/>
        <w:numPr>
          <w:ilvl w:val="0"/>
          <w:numId w:val="3"/>
        </w:numPr>
        <w:shd w:fill="FFFFFF" w:val="clear"/>
        <w:spacing w:lineRule="auto" w:line="240" w:before="0" w:after="150"/>
        <w:ind w:left="300" w:right="0" w:hanging="36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three further documents from Group 2a or 2b</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If the applicant can’t provide these documents, they may need to be fingerprinted.</w:t>
      </w:r>
    </w:p>
    <w:p>
      <w:pPr>
        <w:pStyle w:val="Normal"/>
        <w:numPr>
          <w:ilvl w:val="0"/>
          <w:numId w:val="0"/>
        </w:numPr>
        <w:shd w:fill="FFFFFF" w:val="clear"/>
        <w:spacing w:lineRule="auto" w:line="240" w:before="0" w:after="300"/>
        <w:ind w:left="0" w:hanging="0"/>
        <w:rPr>
          <w:rFonts w:ascii="Arial" w:hAnsi="Arial" w:eastAsia="Times New Roman" w:cs="Arial"/>
          <w:b/>
          <w:b/>
          <w:bCs/>
          <w:color w:val="0B0C0C"/>
          <w:sz w:val="36"/>
          <w:szCs w:val="36"/>
          <w:lang w:eastAsia="en-GB"/>
        </w:rPr>
      </w:pPr>
      <w:r>
        <w:rPr>
          <w:rFonts w:eastAsia="Times New Roman" w:cs="Arial" w:ascii="Arial" w:hAnsi="Arial"/>
          <w:b/>
          <w:bCs/>
          <w:color w:val="0B0C0C"/>
          <w:sz w:val="36"/>
          <w:szCs w:val="36"/>
          <w:lang w:eastAsia="en-GB"/>
        </w:rPr>
        <w:t>Document lists</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You should not accept the foreign equivalent of an identity document if that document is listed as ‘(UK)’ on the list of valid identity documents.</w:t>
      </w:r>
    </w:p>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Group 1: Primary identity documents</w:t>
      </w:r>
    </w:p>
    <w:tbl>
      <w:tblPr>
        <w:tblW w:w="10687" w:type="dxa"/>
        <w:jc w:val="left"/>
        <w:tblInd w:w="0" w:type="dxa"/>
        <w:tblCellMar>
          <w:top w:w="150" w:type="dxa"/>
          <w:left w:w="0" w:type="dxa"/>
          <w:bottom w:w="150" w:type="dxa"/>
          <w:right w:w="0" w:type="dxa"/>
        </w:tblCellMar>
      </w:tblPr>
      <w:tblGrid>
        <w:gridCol w:w="2602"/>
        <w:gridCol w:w="8085"/>
      </w:tblGrid>
      <w:tr>
        <w:trPr>
          <w:tblHeader w:val="true"/>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Document</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Notes</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Passport</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Any current and valid passport. A UK passport can be expired up to a maximum of 6 months.</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e-Visa</w:t>
            </w:r>
          </w:p>
        </w:tc>
        <w:tc>
          <w:tcPr>
            <w:tcW w:w="8085" w:type="dxa"/>
            <w:tcBorders>
              <w:bottom w:val="single" w:sz="6" w:space="0" w:color="B1B4B6"/>
            </w:tcBorders>
            <w:shd w:fill="FFFFFF" w:val="clear"/>
          </w:tcPr>
          <w:p>
            <w:pPr>
              <w:pStyle w:val="Normal"/>
              <w:spacing w:lineRule="auto" w:line="240" w:before="0" w:after="450"/>
              <w:rPr/>
            </w:pPr>
            <w:r>
              <w:rPr>
                <w:rFonts w:eastAsia="Times New Roman" w:cs="Arial" w:ascii="Arial" w:hAnsi="Arial"/>
                <w:color w:val="0B0C0C"/>
                <w:sz w:val="24"/>
                <w:szCs w:val="24"/>
                <w:lang w:eastAsia="en-GB"/>
              </w:rPr>
              <w:t>Accessed via the ‘View and Prove’ service. The share code requested by the applicant should be a ‘general’ share code. If you do not have a UKVI account to access your eVisa you can create you can create one online (</w:t>
            </w:r>
            <w:r>
              <w:rPr>
                <w:rFonts w:eastAsia="Times New Roman" w:cs="Arial" w:ascii="Arial" w:hAnsi="Arial"/>
                <w:color w:val="1D70B8"/>
                <w:sz w:val="24"/>
                <w:szCs w:val="24"/>
                <w:u w:val="single"/>
                <w:lang w:eastAsia="en-GB"/>
              </w:rPr>
              <w:t>Get access to your online immigration status (eVisa) - GOV.UK</w:t>
            </w:r>
            <w:r>
              <w:rPr>
                <w:rFonts w:eastAsia="Times New Roman" w:cs="Arial" w:ascii="Arial" w:hAnsi="Arial"/>
                <w:color w:val="0B0C0C"/>
                <w:sz w:val="24"/>
                <w:szCs w:val="24"/>
                <w:lang w:eastAsia="en-GB"/>
              </w:rPr>
              <w: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Biometric residence permit (BRP)</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 BRP showing Indefinite Leave to Remain, Indefinite Leave to Enter or No Time Limit can be used up to 18 months past the expiry date of the BRP. BRP holders should be encouraged to create an account and access their eVisa</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Application Registration Card (ARC)</w:t>
            </w:r>
          </w:p>
        </w:tc>
        <w:tc>
          <w:tcPr>
            <w:tcW w:w="8085" w:type="dxa"/>
            <w:tcBorders>
              <w:bottom w:val="single" w:sz="6" w:space="0" w:color="B1B4B6"/>
            </w:tcBorders>
            <w:shd w:fill="FFFFFF" w:val="clear"/>
          </w:tcPr>
          <w:p>
            <w:pPr>
              <w:pStyle w:val="Normal"/>
              <w:spacing w:lineRule="auto" w:line="240" w:before="0" w:after="450"/>
              <w:rPr/>
            </w:pPr>
            <w:r>
              <w:rPr>
                <w:rFonts w:eastAsia="Times New Roman" w:cs="Arial" w:ascii="Arial" w:hAnsi="Arial"/>
                <w:color w:val="0B0C0C"/>
                <w:sz w:val="24"/>
                <w:szCs w:val="24"/>
                <w:lang w:eastAsia="en-GB"/>
              </w:rPr>
              <w:t>Issued by the Home Office. Must be checked against the </w:t>
            </w:r>
            <w:r>
              <w:rPr>
                <w:rFonts w:eastAsia="Times New Roman" w:cs="Arial" w:ascii="Arial" w:hAnsi="Arial"/>
                <w:color w:val="1D70B8"/>
                <w:sz w:val="24"/>
                <w:szCs w:val="24"/>
                <w:u w:val="single"/>
                <w:lang w:eastAsia="en-GB"/>
              </w:rPr>
              <w:t>Home Office Employer Checking Service</w:t>
            </w:r>
            <w:r>
              <w:rPr>
                <w:rFonts w:eastAsia="Times New Roman" w:cs="Arial" w:ascii="Arial" w:hAnsi="Arial"/>
                <w:color w:val="0B0C0C"/>
                <w:sz w:val="24"/>
                <w:szCs w:val="24"/>
                <w:lang w:eastAsia="en-GB"/>
              </w:rPr>
              <w: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photocard - (full or provisional)</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photocard driving licence issued by UK, Isle of Man, and Channel Islands. From 8 June 2015, the paper counterpart to the photocard driving licence will not be valid and will no longer be issued by DVLA</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Birth certificate - issued within 12 months of birth</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 - including those issued by UK authorities overseas, for example embassies, High Commissions and HM Forces. Must be original birth certificate. Certified copies are a group 2a document.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Adoption certificate</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r>
    </w:tbl>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Group 2a: Trusted government documents</w:t>
      </w:r>
    </w:p>
    <w:tbl>
      <w:tblPr>
        <w:tblW w:w="10687" w:type="dxa"/>
        <w:jc w:val="left"/>
        <w:tblInd w:w="0" w:type="dxa"/>
        <w:tblCellMar>
          <w:top w:w="150" w:type="dxa"/>
          <w:left w:w="0" w:type="dxa"/>
          <w:bottom w:w="150" w:type="dxa"/>
          <w:right w:w="0" w:type="dxa"/>
        </w:tblCellMar>
      </w:tblPr>
      <w:tblGrid>
        <w:gridCol w:w="3952"/>
        <w:gridCol w:w="6735"/>
      </w:tblGrid>
      <w:tr>
        <w:trPr>
          <w:tblHeader w:val="true"/>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Document</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Notes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photocard - (full or provisional)</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All countries outside the UK (excluding Isle of Man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(full or provisional) - paper version (if issued before March 2000)</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UK, Isle of Man, and Channel Islands. For a paper licence to be valid it must be issued before March 2000 and all information, including name and address, must be up to date</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Birth certificate - issued after time of birth</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Marriage/civil partnership certificate</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Immigration document, visa, or work permit</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by a country outside the UK. Valid only for roles whereby the applicant is living and working outside of the UK. Visa/permit must relate to the non-UK country in which the role is based</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HM Forces ID card</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Firearms licence</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w:t>
            </w:r>
          </w:p>
        </w:tc>
      </w:tr>
    </w:tbl>
    <w:p>
      <w:pPr>
        <w:pStyle w:val="Normal"/>
        <w:numPr>
          <w:ilvl w:val="0"/>
          <w:numId w:val="0"/>
        </w:numPr>
        <w:shd w:fill="FFFFFF" w:val="clear"/>
        <w:spacing w:lineRule="auto" w:line="240" w:before="0" w:after="300"/>
        <w:ind w:left="0" w:hanging="0"/>
        <w:rPr>
          <w:rFonts w:ascii="Arial" w:hAnsi="Arial" w:eastAsia="Times New Roman" w:cs="Arial"/>
          <w:b/>
          <w:b/>
          <w:bCs/>
          <w:color w:val="0B0C0C"/>
          <w:sz w:val="27"/>
          <w:szCs w:val="27"/>
          <w:lang w:eastAsia="en-GB"/>
        </w:rPr>
      </w:pPr>
      <w:r>
        <w:rPr>
          <w:rFonts w:eastAsia="Times New Roman" w:cs="Arial" w:ascii="Arial" w:hAnsi="Arial"/>
          <w:b/>
          <w:bCs/>
          <w:color w:val="0B0C0C"/>
          <w:sz w:val="27"/>
          <w:szCs w:val="27"/>
          <w:lang w:eastAsia="en-GB"/>
        </w:rPr>
        <w:t>Group 2b: Financial and social history documents</w:t>
      </w:r>
    </w:p>
    <w:tbl>
      <w:tblPr>
        <w:tblW w:w="10688" w:type="dxa"/>
        <w:jc w:val="left"/>
        <w:tblInd w:w="0" w:type="dxa"/>
        <w:tblCellMar>
          <w:top w:w="150" w:type="dxa"/>
          <w:left w:w="0" w:type="dxa"/>
          <w:bottom w:w="150" w:type="dxa"/>
          <w:right w:w="0" w:type="dxa"/>
        </w:tblCellMar>
      </w:tblPr>
      <w:tblGrid>
        <w:gridCol w:w="4308"/>
        <w:gridCol w:w="4295"/>
        <w:gridCol w:w="2085"/>
      </w:tblGrid>
      <w:tr>
        <w:trPr>
          <w:tblHeader w:val="true"/>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Documents</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Notes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b/>
                <w:b/>
                <w:bCs/>
                <w:color w:val="0B0C0C"/>
                <w:sz w:val="24"/>
                <w:szCs w:val="24"/>
                <w:lang w:eastAsia="en-GB"/>
              </w:rPr>
            </w:pPr>
            <w:r>
              <w:rPr>
                <w:rFonts w:eastAsia="Times New Roman" w:cs="Arial" w:ascii="Arial" w:hAnsi="Arial"/>
                <w:b/>
                <w:bCs/>
                <w:color w:val="0B0C0C"/>
                <w:sz w:val="24"/>
                <w:szCs w:val="24"/>
                <w:lang w:eastAsia="en-GB"/>
              </w:rPr>
              <w:t>Issue date and validity</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Mortgage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A print off of a bank statement that is endorsed with a stamp and signed by the bank is acceptable if you cannot have hard copy bank statements posted to you.</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Countries outside the 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 - branch must be in the country where the applicant lives and works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account opening confirmation letter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Credit card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Financial statement, for example pension or endowment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P45 or P60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Cannot be online document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Council Tax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Letter of sponsorship from future UK employment provider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Valid only for applicants residing outside of the UK at time of application</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Utility bill</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 not mobile telephone bill. Cannot be printed from an online account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Benefit statement, for example Child Benefit, pension</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Central or local government, government agency, or local council document giving entitlement, for example from the Department for Work and Pensions, the Employment Service, Local Authority</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 a letter confirming entitlement to benefits. For example: Personal Independence Payment (PIP), free school meals, universal credit, asylum support etc</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HMRC self-assessment letters or tax demand letter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European Health Insurance Card (EHIC) or Global Health Insurance Card (GHIC)</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EEA National ID card</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 </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Irish Passport Card</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Cannot be used with an Irish passport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Cards carrying the PASS accreditation logo</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 Digital PASS cards are acceptable where they have been issued by an approved digital PASS provider and the QR code has been used to confirm details.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Letter from head teacher, college principal, apprenticeship provider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 for 16 to 19 year olds in full time education or on an apprenticeship - only used in exceptional circumstances if other documents cannot be provided</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the last month</w:t>
            </w:r>
          </w:p>
        </w:tc>
      </w:tr>
    </w:tbl>
    <w:p>
      <w:pPr>
        <w:pStyle w:val="Normal"/>
        <w:numPr>
          <w:ilvl w:val="0"/>
          <w:numId w:val="0"/>
        </w:numPr>
        <w:shd w:fill="FFFFFF" w:val="clear"/>
        <w:spacing w:lineRule="auto" w:line="240" w:before="0" w:after="300"/>
        <w:ind w:left="0" w:hanging="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sz w:val="24"/>
    </w:rPr>
  </w:style>
  <w:style w:type="character" w:styleId="WW8Num1z1">
    <w:name w:val="WW8Num1z1"/>
    <w:qFormat/>
    <w:rPr>
      <w:rFonts w:ascii="Symbol" w:hAnsi="Symbol" w:cs="Symbol"/>
      <w:sz w:val="20"/>
    </w:rPr>
  </w:style>
  <w:style w:type="character" w:styleId="WW8Num2z0">
    <w:name w:val="WW8Num2z0"/>
    <w:qFormat/>
    <w:rPr>
      <w:rFonts w:ascii="Symbol" w:hAnsi="Symbol" w:cs="Symbol"/>
      <w:sz w:val="24"/>
    </w:rPr>
  </w:style>
  <w:style w:type="character" w:styleId="WW8Num2z1">
    <w:name w:val="WW8Num2z1"/>
    <w:qFormat/>
    <w:rPr>
      <w:rFonts w:ascii="Symbol" w:hAnsi="Symbol" w:cs="Symbol"/>
      <w:sz w:val="20"/>
    </w:rPr>
  </w:style>
  <w:style w:type="character" w:styleId="WW8Num3z0">
    <w:name w:val="WW8Num3z0"/>
    <w:qFormat/>
    <w:rPr>
      <w:rFonts w:ascii="Symbol" w:hAnsi="Symbol" w:cs="Symbol"/>
      <w:sz w:val="24"/>
    </w:rPr>
  </w:style>
  <w:style w:type="character" w:styleId="WW8Num3z1">
    <w:name w:val="WW8Num3z1"/>
    <w:qFormat/>
    <w:rPr>
      <w:rFonts w:ascii="Symbol" w:hAnsi="Symbol" w:cs="Symbol"/>
      <w:sz w:val="20"/>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