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Heading1"/>
        <w:rPr/>
      </w:pPr>
      <w:r>
        <w:rPr>
          <w:rFonts w:eastAsia="Calibri" w:cs="Calibri"/>
          <w:b/>
          <w:bCs/>
          <w:color w:val="auto"/>
          <w:sz w:val="40"/>
          <w:szCs w:val="40"/>
        </w:rPr>
        <w:t xml:space="preserve"> </w:t>
      </w:r>
      <w:r>
        <w:rPr>
          <w:b/>
          <w:bCs/>
          <w:color w:val="auto"/>
          <w:sz w:val="40"/>
          <w:szCs w:val="40"/>
        </w:rPr>
        <w:t>Job Description</w:t>
      </w:r>
      <w:r>
        <w:rPr>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Democratic Services Officer (Career Grade)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F to H: Performance-led increments, subject to satisfactory review</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ascii="Arial" w:hAnsi="Arial" w:cs="Arial"/>
              </w:rPr>
            </w:pPr>
            <w:r>
              <w:rPr>
                <w:rFonts w:cs="Arial" w:ascii="Arial" w:hAnsi="Arial"/>
              </w:rPr>
              <w:t>Support the management of the democratic process of the Council, particularly in relation to meetings of the Council, Executive Cabinets, all committees and School Admission Appeals Panels, ensuring all legal requirements and council procedures are met.</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Deputy Democratic Services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 xml:space="preserve">Main Duties – Grade F - Entry Level </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Default"/>
              <w:spacing w:lineRule="auto" w:line="240" w:before="0" w:after="0"/>
              <w:rPr>
                <w:sz w:val="22"/>
                <w:szCs w:val="22"/>
              </w:rPr>
            </w:pPr>
            <w:r>
              <w:rPr>
                <w:sz w:val="22"/>
                <w:szCs w:val="22"/>
              </w:rPr>
              <w:t xml:space="preserve">With assistance, provide support to the Council’s meetings as directed, including the preparation of reports and agendas, recording decisions &amp; setting up meetings. </w:t>
            </w:r>
          </w:p>
          <w:p>
            <w:pPr>
              <w:pStyle w:val="Default"/>
              <w:spacing w:lineRule="auto" w:line="240" w:before="0" w:after="0"/>
              <w:rPr>
                <w:sz w:val="22"/>
                <w:szCs w:val="22"/>
              </w:rPr>
            </w:pPr>
            <w:r>
              <w:rPr>
                <w:sz w:val="22"/>
                <w:szCs w:val="22"/>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Default"/>
              <w:spacing w:lineRule="auto" w:line="240" w:before="0" w:after="0"/>
              <w:rPr>
                <w:sz w:val="22"/>
                <w:szCs w:val="22"/>
              </w:rPr>
            </w:pPr>
            <w:r>
              <w:rPr>
                <w:sz w:val="22"/>
                <w:szCs w:val="22"/>
              </w:rPr>
              <w:t>Assist with the administration and update the council’s committee management system and assist Elected Members and officers in its use.</w:t>
            </w:r>
          </w:p>
          <w:p>
            <w:pPr>
              <w:pStyle w:val="Default"/>
              <w:spacing w:lineRule="auto" w:line="240" w:before="0" w:after="0"/>
              <w:rPr>
                <w:sz w:val="22"/>
                <w:szCs w:val="22"/>
              </w:rPr>
            </w:pPr>
            <w:r>
              <w:rPr>
                <w:sz w:val="22"/>
                <w:szCs w:val="22"/>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With assistance, co-ordinate and collate follow up actions from meetings, including monitoring of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Default"/>
              <w:spacing w:lineRule="auto" w:line="240" w:before="0" w:after="0"/>
              <w:jc w:val="both"/>
              <w:rPr>
                <w:sz w:val="22"/>
                <w:szCs w:val="22"/>
              </w:rPr>
            </w:pPr>
            <w:r>
              <w:rPr>
                <w:sz w:val="22"/>
                <w:szCs w:val="22"/>
              </w:rPr>
              <w:t>With assistance, develop and maintain effective working relationships with Elected Members and all those (external and internal) involved in democratic processes.</w:t>
            </w:r>
          </w:p>
          <w:p>
            <w:pPr>
              <w:pStyle w:val="Default"/>
              <w:spacing w:lineRule="auto" w:line="240" w:before="0" w:after="0"/>
              <w:jc w:val="both"/>
              <w:rPr>
                <w:sz w:val="22"/>
                <w:szCs w:val="22"/>
              </w:rPr>
            </w:pPr>
            <w:r>
              <w:rPr>
                <w:sz w:val="22"/>
                <w:szCs w:val="22"/>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With supervision, make the necessary administrative arrangements for school admission appeals hearings, record decisions and develop knowledge on the related legal process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Undertake a work programme in order to acquire and develop the practical skills and knowledge of a Principal Democratic Services Officer as detailed in the grade H and Grade H person specification</w:t>
            </w:r>
          </w:p>
        </w:tc>
      </w:tr>
      <w:tr>
        <w:trPr>
          <w:trHeight w:val="506" w:hRule="atLeast"/>
        </w:trPr>
        <w:tc>
          <w:tcPr>
            <w:tcW w:w="9637" w:type="dxa"/>
            <w:gridSpan w:val="3"/>
            <w:tcBorders/>
            <w:shd w:fill="auto" w:val="clear"/>
          </w:tcPr>
          <w:p>
            <w:pPr>
              <w:pStyle w:val="Normal"/>
              <w:spacing w:lineRule="auto" w:line="240" w:before="0" w:after="120"/>
              <w:rPr>
                <w:rFonts w:ascii="Arial" w:hAnsi="Arial" w:cs="Arial"/>
                <w:b/>
                <w:b/>
              </w:rPr>
            </w:pPr>
            <w:r>
              <w:rPr>
                <w:rFonts w:cs="Arial" w:ascii="Arial" w:hAnsi="Arial"/>
                <w:b/>
              </w:rPr>
              <w:t>Main Duties – Grade G - Progression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Default"/>
              <w:spacing w:lineRule="auto" w:line="240" w:before="0" w:after="0"/>
              <w:rPr>
                <w:sz w:val="22"/>
                <w:szCs w:val="22"/>
              </w:rPr>
            </w:pPr>
            <w:r>
              <w:rPr>
                <w:sz w:val="22"/>
                <w:szCs w:val="22"/>
              </w:rPr>
              <w:t>With minimum supervision, co-ordinate and administer, in an accurate and timely manner, the work of all Council democratic meetings and all committees, including the arrangement of meetings, preparation of agenda, preparation of relevant reports, attendance at meetings, preparation of minutes and any follow up actions.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Default"/>
              <w:spacing w:lineRule="auto" w:line="240" w:before="0" w:after="0"/>
              <w:rPr>
                <w:sz w:val="22"/>
                <w:szCs w:val="22"/>
              </w:rPr>
            </w:pPr>
            <w:r>
              <w:rPr>
                <w:sz w:val="22"/>
                <w:szCs w:val="22"/>
              </w:rPr>
              <w:t>Assist in the advice supplied and support required to both Elected Members and officers before, during after meetings.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Assist in the application of the council’s constitution, with regards to its democratic processes and supply advice to Elected Members and officers on its contents and use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With limited supervision, administer and maintain the council’s committee management system and assist Elected Members and officers in its use and application.</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With assistance, support the review of committee processes and the implementation of any change and to regularly review and update documented committee procedures in line with changes to internal procedures/protocols, regulations and legislation.</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Default"/>
              <w:spacing w:lineRule="auto" w:line="240" w:before="0" w:after="0"/>
              <w:jc w:val="both"/>
              <w:rPr>
                <w:sz w:val="22"/>
                <w:szCs w:val="22"/>
              </w:rPr>
            </w:pPr>
            <w:r>
              <w:rPr>
                <w:sz w:val="22"/>
                <w:szCs w:val="22"/>
              </w:rPr>
              <w:t>With minimum supervision, co-ordinate and support the Council’s scrutiny and regulatory committees and their panels, including:</w:t>
            </w:r>
          </w:p>
          <w:p>
            <w:pPr>
              <w:pStyle w:val="Default"/>
              <w:spacing w:lineRule="auto" w:line="240" w:before="0" w:after="0"/>
              <w:jc w:val="both"/>
              <w:rPr>
                <w:color w:val="auto"/>
                <w:sz w:val="22"/>
                <w:szCs w:val="22"/>
              </w:rPr>
            </w:pPr>
            <w:r>
              <w:rPr>
                <w:color w:val="auto"/>
                <w:sz w:val="22"/>
                <w:szCs w:val="22"/>
              </w:rPr>
            </w:r>
          </w:p>
          <w:p>
            <w:pPr>
              <w:pStyle w:val="Default"/>
              <w:numPr>
                <w:ilvl w:val="0"/>
                <w:numId w:val="2"/>
              </w:numPr>
              <w:spacing w:lineRule="auto" w:line="240" w:before="0" w:after="0"/>
              <w:jc w:val="both"/>
              <w:rPr>
                <w:sz w:val="22"/>
                <w:szCs w:val="22"/>
              </w:rPr>
            </w:pPr>
            <w:r>
              <w:rPr>
                <w:sz w:val="22"/>
                <w:szCs w:val="22"/>
              </w:rPr>
              <w:t xml:space="preserve">liaising with committee chairs and officers regarding the content of agenda and advising on the appropriateness of items for inclusion. </w:t>
            </w:r>
          </w:p>
          <w:p>
            <w:pPr>
              <w:pStyle w:val="Default"/>
              <w:numPr>
                <w:ilvl w:val="0"/>
                <w:numId w:val="2"/>
              </w:numPr>
              <w:spacing w:lineRule="auto" w:line="240" w:before="0" w:after="0"/>
              <w:jc w:val="both"/>
              <w:rPr>
                <w:sz w:val="22"/>
                <w:szCs w:val="22"/>
              </w:rPr>
            </w:pPr>
            <w:r>
              <w:rPr>
                <w:sz w:val="22"/>
                <w:szCs w:val="22"/>
              </w:rPr>
              <w:t>undertaking research and preparing reports, informal discussion papers or other information for presentation at meetings; preparing draft final reports on behalf of committees/panels;</w:t>
            </w:r>
          </w:p>
          <w:p>
            <w:pPr>
              <w:pStyle w:val="Default"/>
              <w:numPr>
                <w:ilvl w:val="0"/>
                <w:numId w:val="2"/>
              </w:numPr>
              <w:spacing w:lineRule="auto" w:line="240" w:before="0" w:after="0"/>
              <w:jc w:val="both"/>
              <w:rPr>
                <w:sz w:val="22"/>
                <w:szCs w:val="22"/>
              </w:rPr>
            </w:pPr>
            <w:r>
              <w:rPr>
                <w:sz w:val="22"/>
                <w:szCs w:val="22"/>
              </w:rPr>
              <w:t>commissioning reports from, and ensuring timely delivery of reports by others (both internally and externally) as necessary;</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Default"/>
              <w:spacing w:lineRule="auto" w:line="240" w:before="0" w:after="0"/>
              <w:jc w:val="both"/>
              <w:rPr>
                <w:sz w:val="22"/>
                <w:szCs w:val="22"/>
              </w:rPr>
            </w:pPr>
            <w:r>
              <w:rPr>
                <w:sz w:val="22"/>
                <w:szCs w:val="22"/>
              </w:rPr>
              <w:t xml:space="preserve">Assist Managers to ensure that service delivery complies with current regulations, accepted professional standards, the council's policies and procedures and appropriate legislation (including legislation on data protection, equalities, health and safety and safeguarding children and vulnerable adults). </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With assistance, support the review of committee processes and the implementation of any change and to regularly review and update documented committee procedures in line with changes to internal procedures/protocols, regulations and legislation.</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With minimum supervision, support the school admission appeals process, including the organisation of hearings, accurately documenting decisions and offering advice on the procedure to panel members and applicants, continuing to further develop knowledge on the legal framework.</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9637" w:type="dxa"/>
            <w:gridSpan w:val="3"/>
            <w:tcBorders/>
            <w:shd w:fill="auto" w:val="clear"/>
          </w:tcPr>
          <w:p>
            <w:pPr>
              <w:pStyle w:val="Normal"/>
              <w:spacing w:lineRule="auto" w:line="240" w:before="0" w:after="0"/>
              <w:jc w:val="both"/>
              <w:rPr>
                <w:rFonts w:ascii="Arial" w:hAnsi="Arial" w:cs="Arial"/>
                <w:b/>
                <w:b/>
              </w:rPr>
            </w:pPr>
            <w:r>
              <w:rPr>
                <w:rFonts w:cs="Arial" w:ascii="Arial" w:hAnsi="Arial"/>
                <w:b/>
              </w:rPr>
              <w:t>Main Duties – Grade H - Progression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Default"/>
              <w:spacing w:lineRule="auto" w:line="240" w:before="0" w:after="0"/>
              <w:rPr>
                <w:sz w:val="22"/>
                <w:szCs w:val="22"/>
              </w:rPr>
            </w:pPr>
            <w:r>
              <w:rPr>
                <w:sz w:val="22"/>
                <w:szCs w:val="22"/>
              </w:rPr>
              <w:t>Without supervision, co-ordinate and administer, in an accurate and timely manner, the work of all Council democratic meetings and committees, including the arrangement of meetings, preparation of agenda, preparation of relevant reports, attendance at meetings, preparation of minutes and any follow up actions.</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Default"/>
              <w:spacing w:lineRule="auto" w:line="240" w:before="0" w:after="0"/>
              <w:rPr>
                <w:sz w:val="22"/>
                <w:szCs w:val="22"/>
              </w:rPr>
            </w:pPr>
            <w:r>
              <w:rPr>
                <w:sz w:val="22"/>
                <w:szCs w:val="22"/>
              </w:rPr>
              <w:t>Offer expert advice and support on all democratic processes to both Elected Members and officers before, during after meetings.</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Support the application of the council’s constitution, with regards to its democratic processes and supply advise to Elected Members and officers on its contents and use.</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Without supervision, administer and maintain the council’s committee management system and assist Elected Members and officers in its use and application.</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Support the review of committee processes and the implementation of any change and to regularly review and update documented committee procedures in line with changes to internal procedures/protocols, regulations and legislation.</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Default"/>
              <w:spacing w:lineRule="auto" w:line="240" w:before="0" w:after="0"/>
              <w:jc w:val="both"/>
              <w:rPr>
                <w:sz w:val="22"/>
                <w:szCs w:val="22"/>
              </w:rPr>
            </w:pPr>
            <w:r>
              <w:rPr>
                <w:sz w:val="22"/>
                <w:szCs w:val="22"/>
              </w:rPr>
              <w:t>Co-ordinate and support the Council’s scrutiny committees and their panels, including:</w:t>
            </w:r>
          </w:p>
          <w:p>
            <w:pPr>
              <w:pStyle w:val="Default"/>
              <w:spacing w:lineRule="auto" w:line="240" w:before="0" w:after="0"/>
              <w:jc w:val="both"/>
              <w:rPr>
                <w:color w:val="auto"/>
                <w:sz w:val="22"/>
                <w:szCs w:val="22"/>
              </w:rPr>
            </w:pPr>
            <w:r>
              <w:rPr>
                <w:color w:val="auto"/>
                <w:sz w:val="22"/>
                <w:szCs w:val="22"/>
              </w:rPr>
            </w:r>
          </w:p>
          <w:p>
            <w:pPr>
              <w:pStyle w:val="Default"/>
              <w:numPr>
                <w:ilvl w:val="0"/>
                <w:numId w:val="2"/>
              </w:numPr>
              <w:spacing w:lineRule="auto" w:line="240" w:before="0" w:after="0"/>
              <w:jc w:val="both"/>
              <w:rPr>
                <w:sz w:val="22"/>
                <w:szCs w:val="22"/>
              </w:rPr>
            </w:pPr>
            <w:r>
              <w:rPr>
                <w:sz w:val="22"/>
                <w:szCs w:val="22"/>
              </w:rPr>
              <w:t xml:space="preserve">liaising with committee chairs and officers regarding the content of agenda and advising on the appropriateness of items for inclusion. </w:t>
            </w:r>
          </w:p>
          <w:p>
            <w:pPr>
              <w:pStyle w:val="Default"/>
              <w:numPr>
                <w:ilvl w:val="0"/>
                <w:numId w:val="2"/>
              </w:numPr>
              <w:spacing w:lineRule="auto" w:line="240" w:before="0" w:after="0"/>
              <w:jc w:val="both"/>
              <w:rPr>
                <w:sz w:val="22"/>
                <w:szCs w:val="22"/>
              </w:rPr>
            </w:pPr>
            <w:r>
              <w:rPr>
                <w:sz w:val="22"/>
                <w:szCs w:val="22"/>
              </w:rPr>
              <w:t>undertaking research and preparing reports, informal discussion papers or other information for presentation at meetings; preparing draft final reports on behalf of committees/panels.</w:t>
            </w:r>
          </w:p>
          <w:p>
            <w:pPr>
              <w:pStyle w:val="Default"/>
              <w:numPr>
                <w:ilvl w:val="0"/>
                <w:numId w:val="2"/>
              </w:numPr>
              <w:spacing w:lineRule="auto" w:line="240" w:before="0" w:after="0"/>
              <w:jc w:val="both"/>
              <w:rPr>
                <w:sz w:val="22"/>
                <w:szCs w:val="22"/>
              </w:rPr>
            </w:pPr>
            <w:r>
              <w:rPr>
                <w:sz w:val="22"/>
                <w:szCs w:val="22"/>
              </w:rPr>
              <w:t>commissioning reports from and ensuring timely delivery of reports by others (both internally and externally) as necessary.</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Default"/>
              <w:spacing w:lineRule="auto" w:line="240" w:before="0" w:after="0"/>
              <w:jc w:val="both"/>
              <w:rPr>
                <w:sz w:val="22"/>
                <w:szCs w:val="22"/>
              </w:rPr>
            </w:pPr>
            <w:r>
              <w:rPr>
                <w:sz w:val="22"/>
                <w:szCs w:val="22"/>
              </w:rPr>
              <w:t xml:space="preserve">Ensure that service delivery complies with current regulations, accepted professional standards, the council's policies and procedures and appropriate legislation (including legislation on data protection, equalities, health and safety and safeguarding children and vulnerable adults). </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Independently, support the School Appeals process, including the organisation of hearings, accurately documenting decisions and offering advice on the procedure to panel members and applicants.</w:t>
            </w:r>
          </w:p>
          <w:p>
            <w:pPr>
              <w:pStyle w:val="Normal"/>
              <w:spacing w:lineRule="auto" w:line="240" w:before="0" w:after="0"/>
              <w:jc w:val="both"/>
              <w:rPr>
                <w:rFonts w:ascii="Arial" w:hAnsi="Arial" w:cs="Arial"/>
                <w:color w:val="000000"/>
              </w:rPr>
            </w:pPr>
            <w:r>
              <w:rPr>
                <w:rFonts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Default"/>
              <w:spacing w:lineRule="auto" w:line="240" w:before="12" w:after="0"/>
              <w:jc w:val="both"/>
              <w:rPr>
                <w:sz w:val="22"/>
                <w:szCs w:val="22"/>
              </w:rPr>
            </w:pPr>
            <w:r>
              <w:rPr>
                <w:sz w:val="22"/>
                <w:szCs w:val="22"/>
              </w:rPr>
              <w:t>Independently, review all documentation relating to individual school admission appeals and ensure the information is relevant and applicable to the case and be an independent source of advice on law, relating to school admission appeals.</w:t>
            </w:r>
          </w:p>
          <w:p>
            <w:pPr>
              <w:pStyle w:val="Normal"/>
              <w:spacing w:lineRule="auto" w:line="240" w:before="0" w:after="0"/>
              <w:jc w:val="both"/>
              <w:rPr>
                <w:rFonts w:ascii="Arial" w:hAnsi="Arial" w:cs="Arial"/>
                <w:color w:val="000000"/>
              </w:rPr>
            </w:pPr>
            <w:r>
              <w:rPr>
                <w:rFonts w:cs="Arial" w:ascii="Arial" w:hAnsi="Arial"/>
                <w:color w:val="000000"/>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July 2026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Democratic Services Manager</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Heading2"/>
        <w:rPr>
          <w:b/>
          <w:b/>
          <w:bCs/>
          <w:color w:val="auto"/>
          <w:sz w:val="40"/>
          <w:szCs w:val="40"/>
        </w:rPr>
      </w:pPr>
      <w:r>
        <w:rPr>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corporate resources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principal democratic services officer (career grade)</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 both orally and in writing – with councillors, professional and non-professional officers and members of the public.</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Form/Interview/Assessment</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Work effectively on own initiative and as part of a team developing working relationships at all levels.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an understanding of local government, democratic process generally and the context within which it operates.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meet tight deadlines when required</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ICT skills and the ability to learn development of the use of information technology systems and software.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Assessment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ability to present information effectively using a range of media including excellent report writing and presentation skills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Assessment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Willingness to learn and to take responsibility for own development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Degree (or equivalent qualification)</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
                <w:b/>
                <w:bCs/>
              </w:rPr>
            </w:pPr>
            <w:r>
              <w:rPr>
                <w:rFonts w:cs="Arial" w:ascii="Arial" w:hAnsi="Arial"/>
                <w:b/>
                <w:bCs/>
              </w:rPr>
              <w:t>Applicable to all roles at Grade L &amp; above and those that speak on behalf of council to journalists/broadcasters and/or act in an advisory capacity to Councillors:</w:t>
            </w:r>
          </w:p>
          <w:p>
            <w:pPr>
              <w:pStyle w:val="Normal"/>
              <w:spacing w:lineRule="auto" w:line="240" w:before="120" w:after="120"/>
              <w:rPr>
                <w:rFonts w:ascii="Arial" w:hAnsi="Arial" w:cs="Arial"/>
                <w:bCs/>
              </w:rPr>
            </w:pPr>
            <w:r>
              <w:rPr>
                <w:rFonts w:cs="Arial" w:ascii="Arial" w:hAnsi="Arial"/>
                <w:bCs/>
              </w:rPr>
              <w:t>This post is designated as politically restricted. The holder of a politically restricted post is unable to have any active political role either in or outside the workplace. Politically restricted employees will automatically be disqualified from standing for or holding elected office. This means you are not permitted to stand for office as a local councillor or MP.  In addition, you are restricted from canvassing on behalf of a political party or a person who is, or seeks to be, a candidate. You are also restricted from speaking to the public at large or publishing any written or artistic work that could give the impression that you are advocating support for a political party.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bookmarkStart w:id="0" w:name="_Hlk49870958"/>
            <w:bookmarkEnd w:id="0"/>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Previous experience of working in a local government setting and in a political environment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Association of Democratic Services Certificate or Diploma</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2026-07-16T11:54:00Z</dcterms:created>
  <dc:creator>Johnson, Andrew</dc:creator>
  <dc:description/>
  <dc:language>en-US</dc:language>
  <cp:lastModifiedBy>Rowbotham, Francesca</cp:lastModifiedBy>
  <cp:lastPrinted>1995-11-21T17:41:00Z</cp:lastPrinted>
  <dcterms:modified xsi:type="dcterms:W3CDTF">2026-07-16T12:54:00Z</dcterms:modified>
  <cp:revision>36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0x0101000546D9254E1FD443A6C398E2C0B5643E</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docLang">
    <vt:lpwstr>en</vt:lpwstr>
  </property>
</Properties>
</file>