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CORPORATE RESOURCES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bCs/>
              </w:rPr>
            </w:pPr>
            <w:r>
              <w:rPr>
                <w:rFonts w:cs="Arial" w:ascii="Arial" w:hAnsi="Arial"/>
                <w:b/>
                <w:bCs/>
              </w:rPr>
              <w:t>FIRE SAFETY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J (Predicted)</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jc w:val="both"/>
              <w:rPr>
                <w:rFonts w:ascii="Arial" w:hAnsi="Arial" w:cs="Arial"/>
              </w:rPr>
            </w:pPr>
            <w:r>
              <w:rPr>
                <w:rFonts w:cs="Arial" w:ascii="Arial" w:hAnsi="Arial"/>
              </w:rPr>
              <w:t>To provide specialised technical expertise, leadership and governance for fire safety management across council-owned properties. This includes developing and implementing a corporate fire safety strategy, ensuring statutory compliance, managing fire risk across the estate, and supporting the Council’s operational and strategic objectives.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Corporate Property Compliance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None</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jc w:val="both"/>
              <w:rPr>
                <w:rFonts w:ascii="Arial" w:hAnsi="Arial" w:cs="Arial"/>
              </w:rPr>
            </w:pPr>
            <w:r>
              <w:rPr>
                <w:rFonts w:cs="Arial" w:ascii="Arial" w:hAnsi="Arial"/>
              </w:rPr>
              <w:t>Provide expert fire safety advice and support for all council-owned and controlled properties, working collaboratively with Facilities Management, Health &amp; Safety, Capital Projects, and external contractors.</w:t>
            </w:r>
          </w:p>
        </w:tc>
      </w:tr>
      <w:tr>
        <w:trPr>
          <w:trHeight w:val="1003"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jc w:val="both"/>
              <w:rPr/>
            </w:pPr>
            <w:r>
              <w:rPr>
                <w:rFonts w:cs="Arial" w:ascii="Arial" w:hAnsi="Arial"/>
                <w:bCs/>
              </w:rPr>
              <w:t xml:space="preserve">Develop, implement and maintain a </w:t>
            </w:r>
            <w:r>
              <w:rPr>
                <w:rFonts w:cs="Arial" w:ascii="Arial" w:hAnsi="Arial"/>
              </w:rPr>
              <w:t>corporate fire safety strategy,</w:t>
            </w:r>
            <w:r>
              <w:rPr>
                <w:rFonts w:cs="Arial" w:ascii="Arial" w:hAnsi="Arial"/>
                <w:bCs/>
              </w:rPr>
              <w:t xml:space="preserve"> ensuring compliance with the Regulatory Reform (Fire Safety) Order 2005 and all associated legislation and guidance.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jc w:val="both"/>
              <w:rPr>
                <w:rFonts w:ascii="Arial" w:hAnsi="Arial" w:cs="Arial"/>
                <w:bCs/>
              </w:rPr>
            </w:pPr>
            <w:r>
              <w:rPr>
                <w:rFonts w:cs="Arial" w:ascii="Arial" w:hAnsi="Arial"/>
                <w:bCs/>
              </w:rPr>
              <w:t>Maintain a centralised, accurate and auditable fire safety information system, including registers for fire risk assessments (FRAs), fire doors, compartmentation, and fire systems.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jc w:val="both"/>
              <w:rPr>
                <w:rFonts w:ascii="Arial" w:hAnsi="Arial" w:cs="Arial"/>
                <w:bCs/>
              </w:rPr>
            </w:pPr>
            <w:r>
              <w:rPr>
                <w:rFonts w:cs="Arial" w:ascii="Arial" w:hAnsi="Arial"/>
                <w:bCs/>
              </w:rPr>
              <w:t>Ensure that Fire Risk Assessments are suitable, sufficient and regularly reviewed, and that all actions are appropriately prioritised, tracked and completed.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jc w:val="both"/>
              <w:rPr>
                <w:rFonts w:ascii="Arial" w:hAnsi="Arial" w:cs="Arial"/>
              </w:rPr>
            </w:pPr>
            <w:r>
              <w:rPr>
                <w:rFonts w:cs="Arial" w:ascii="Arial" w:hAnsi="Arial"/>
              </w:rPr>
              <w:t>Act as the primary point of technical expertise for fire safety, providing clear guidance to internal teams, contractors and stakeholders.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jc w:val="both"/>
              <w:rPr>
                <w:rFonts w:ascii="Arial" w:hAnsi="Arial" w:cs="Arial"/>
              </w:rPr>
            </w:pPr>
            <w:r>
              <w:rPr>
                <w:rFonts w:cs="Arial" w:ascii="Arial" w:hAnsi="Arial"/>
              </w:rPr>
              <w:t>Develop technical specifications and provide assurance for fire safety elements within refurbishment, capital and maintenance projects, including fire strategy input.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jc w:val="both"/>
              <w:rPr>
                <w:rFonts w:ascii="Arial" w:hAnsi="Arial" w:cs="Arial"/>
              </w:rPr>
            </w:pPr>
            <w:r>
              <w:rPr>
                <w:rFonts w:cs="Arial" w:ascii="Arial" w:hAnsi="Arial"/>
              </w:rPr>
              <w:t>Identify and implement a risk-based fire safety improvement and investment plan, aligned to corporate property strategies and budget priorities.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jc w:val="both"/>
              <w:rPr>
                <w:rFonts w:ascii="Arial" w:hAnsi="Arial" w:cs="Arial"/>
              </w:rPr>
            </w:pPr>
            <w:r>
              <w:rPr>
                <w:rFonts w:cs="Arial" w:ascii="Arial" w:hAnsi="Arial"/>
              </w:rPr>
              <w:t>Lead investigations into fire-related incidents, near misses and compliance breaches, ensuring learning is embedded and corrective actions are implemented.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jc w:val="both"/>
              <w:rPr>
                <w:rFonts w:ascii="Arial" w:hAnsi="Arial" w:cs="Arial"/>
              </w:rPr>
            </w:pPr>
            <w:r>
              <w:rPr>
                <w:rFonts w:cs="Arial" w:ascii="Arial" w:hAnsi="Arial"/>
              </w:rPr>
              <w:t>Oversee and audit the delivery of fire safety works by contractors, including fire door inspections, compartmentation works and fire alarm systems.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jc w:val="both"/>
              <w:rPr>
                <w:rFonts w:ascii="Arial" w:hAnsi="Arial" w:cs="Arial"/>
              </w:rPr>
            </w:pPr>
            <w:r>
              <w:rPr>
                <w:rFonts w:cs="Arial" w:ascii="Arial" w:hAnsi="Arial"/>
              </w:rPr>
              <w:t>Challenge contractor-led recommendations to ensure all proposed works are proportionate, risk-based and value for money.</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29" w:type="dxa"/>
            <w:gridSpan w:val="2"/>
            <w:tcBorders/>
          </w:tcPr>
          <w:p>
            <w:pPr>
              <w:pStyle w:val="Normal"/>
              <w:spacing w:lineRule="auto" w:line="240" w:before="0" w:after="0"/>
              <w:jc w:val="both"/>
              <w:rPr>
                <w:rFonts w:ascii="Arial" w:hAnsi="Arial" w:cs="Arial"/>
              </w:rPr>
            </w:pPr>
            <w:r>
              <w:rPr>
                <w:rFonts w:cs="Arial" w:ascii="Arial" w:hAnsi="Arial"/>
              </w:rPr>
              <w:t>Identify opportunities for continuous improvement, embedding best practice, consistency and standardisation across the estate.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29" w:type="dxa"/>
            <w:gridSpan w:val="2"/>
            <w:tcBorders/>
          </w:tcPr>
          <w:p>
            <w:pPr>
              <w:pStyle w:val="Normal"/>
              <w:spacing w:lineRule="auto" w:line="240" w:before="0" w:after="0"/>
              <w:jc w:val="both"/>
              <w:rPr>
                <w:rFonts w:ascii="Arial" w:hAnsi="Arial" w:cs="Arial"/>
              </w:rPr>
            </w:pPr>
            <w:r>
              <w:rPr>
                <w:rFonts w:cs="Arial" w:ascii="Arial" w:hAnsi="Arial"/>
              </w:rPr>
              <w:t>Support procurement and contract management processes by developing robust fire safety specifications and compliance standards.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13</w:t>
            </w:r>
          </w:p>
        </w:tc>
        <w:tc>
          <w:tcPr>
            <w:tcW w:w="8829" w:type="dxa"/>
            <w:gridSpan w:val="2"/>
            <w:tcBorders/>
          </w:tcPr>
          <w:p>
            <w:pPr>
              <w:pStyle w:val="Normal"/>
              <w:spacing w:lineRule="auto" w:line="240" w:before="0" w:after="0"/>
              <w:jc w:val="both"/>
              <w:rPr>
                <w:rFonts w:ascii="Arial" w:hAnsi="Arial" w:cs="Arial"/>
              </w:rPr>
            </w:pPr>
            <w:r>
              <w:rPr>
                <w:rFonts w:cs="Arial" w:ascii="Arial" w:hAnsi="Arial"/>
              </w:rPr>
              <w:t>Provide training, guidance and professional support to Facilities Management and other stakeholders to strengthen internal fire safety capability.</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14</w:t>
            </w:r>
          </w:p>
        </w:tc>
        <w:tc>
          <w:tcPr>
            <w:tcW w:w="8829" w:type="dxa"/>
            <w:gridSpan w:val="2"/>
            <w:tcBorders/>
          </w:tcPr>
          <w:p>
            <w:pPr>
              <w:pStyle w:val="Normal"/>
              <w:spacing w:lineRule="auto" w:line="240" w:before="0" w:after="0"/>
              <w:jc w:val="both"/>
              <w:rPr>
                <w:rFonts w:ascii="Arial" w:hAnsi="Arial" w:cs="Arial"/>
              </w:rPr>
            </w:pPr>
            <w:r>
              <w:rPr>
                <w:rFonts w:cs="Arial" w:ascii="Arial" w:hAnsi="Arial"/>
              </w:rPr>
              <w:t>Undertake any other duties commensurate with the grade and nature of the role to support the effective delivery of Corporate Property services.</w:t>
            </w:r>
          </w:p>
        </w:tc>
      </w:tr>
      <w:tr>
        <w:trPr/>
        <w:tc>
          <w:tcPr>
            <w:tcW w:w="4572" w:type="dxa"/>
            <w:gridSpan w:val="2"/>
            <w:tcBorders/>
          </w:tcPr>
          <w:p>
            <w:pPr>
              <w:pStyle w:val="Normal"/>
              <w:spacing w:lineRule="auto" w:line="240" w:before="0" w:after="0"/>
              <w:jc w:val="both"/>
              <w:rPr>
                <w:rFonts w:ascii="Arial" w:hAnsi="Arial" w:cs="Arial"/>
                <w:b/>
              </w:rPr>
            </w:pPr>
            <w:r>
              <w:rPr>
                <w:rFonts w:cs="Arial" w:ascii="Arial" w:hAnsi="Arial"/>
                <w:b/>
              </w:rPr>
              <w:t>Date Job Description prepared:</w:t>
            </w:r>
          </w:p>
        </w:tc>
        <w:tc>
          <w:tcPr>
            <w:tcW w:w="5065" w:type="dxa"/>
            <w:tcBorders/>
          </w:tcPr>
          <w:p>
            <w:pPr>
              <w:pStyle w:val="Normal"/>
              <w:spacing w:lineRule="auto" w:line="240" w:before="0" w:after="0"/>
              <w:jc w:val="both"/>
              <w:rPr>
                <w:rFonts w:ascii="Arial" w:hAnsi="Arial" w:cs="Arial"/>
                <w:b/>
              </w:rPr>
            </w:pPr>
            <w:r>
              <w:rPr>
                <w:rFonts w:cs="Arial" w:ascii="Arial" w:hAnsi="Arial"/>
                <w:b/>
              </w:rPr>
              <w:t>June 2026</w:t>
            </w:r>
          </w:p>
        </w:tc>
      </w:tr>
      <w:tr>
        <w:trPr/>
        <w:tc>
          <w:tcPr>
            <w:tcW w:w="4572" w:type="dxa"/>
            <w:gridSpan w:val="2"/>
            <w:tcBorders/>
          </w:tcPr>
          <w:p>
            <w:pPr>
              <w:pStyle w:val="Normal"/>
              <w:spacing w:lineRule="auto" w:line="240" w:before="0" w:after="0"/>
              <w:jc w:val="both"/>
              <w:rPr>
                <w:rFonts w:ascii="Arial" w:hAnsi="Arial" w:cs="Arial"/>
                <w:b/>
              </w:rPr>
            </w:pPr>
            <w:r>
              <w:rPr>
                <w:rFonts w:cs="Arial" w:ascii="Arial" w:hAnsi="Arial"/>
                <w:b/>
              </w:rPr>
              <w:t xml:space="preserve">Job Description prepared by: </w:t>
            </w:r>
          </w:p>
        </w:tc>
        <w:tc>
          <w:tcPr>
            <w:tcW w:w="5065" w:type="dxa"/>
            <w:tcBorders/>
          </w:tcPr>
          <w:p>
            <w:pPr>
              <w:pStyle w:val="Normal"/>
              <w:spacing w:lineRule="auto" w:line="240" w:before="0" w:after="0"/>
              <w:jc w:val="both"/>
              <w:rPr>
                <w:rFonts w:ascii="Arial" w:hAnsi="Arial" w:cs="Arial"/>
                <w:b/>
              </w:rPr>
            </w:pPr>
            <w:r>
              <w:rPr>
                <w:rFonts w:cs="Arial" w:ascii="Arial" w:hAnsi="Arial"/>
                <w:b/>
              </w:rPr>
              <w:t>FM Operations Manager</w:t>
            </w:r>
          </w:p>
        </w:tc>
      </w:tr>
    </w:tbl>
    <w:p>
      <w:pPr>
        <w:sectPr>
          <w:headerReference w:type="default" r:id="rId3"/>
          <w:footerReference w:type="default" r:id="rId4"/>
          <w:type w:val="nextPage"/>
          <w:pgSz w:w="11906" w:h="16838"/>
          <w:pgMar w:left="1134" w:right="1134" w:gutter="0" w:header="709" w:top="1361" w:footer="709" w:bottom="1134"/>
          <w:pgNumType w:fmt="decimal"/>
          <w:formProt w:val="false"/>
          <w:textDirection w:val="lrTb"/>
          <w:docGrid w:type="default" w:linePitch="360" w:charSpace="4096"/>
        </w:sectPr>
      </w:pPr>
    </w:p>
    <w:p>
      <w:pPr>
        <w:pStyle w:val="Normal"/>
        <w:rPr>
          <w:b/>
          <w:bCs/>
          <w:sz w:val="40"/>
          <w:szCs w:val="40"/>
        </w:rPr>
      </w:pPr>
      <w:r>
        <w:rPr>
          <w:b/>
          <w:bCs/>
          <w:sz w:val="40"/>
          <w:szCs w:val="40"/>
        </w:rPr>
        <w:t>Person Specification</w:t>
      </w:r>
    </w:p>
    <w:tbl>
      <w:tblPr>
        <w:tblW w:w="10065" w:type="dxa"/>
        <w:jc w:val="left"/>
        <w:tblInd w:w="108" w:type="dxa"/>
        <w:tblLayout w:type="fixed"/>
        <w:tblCellMar>
          <w:top w:w="0" w:type="dxa"/>
          <w:left w:w="108" w:type="dxa"/>
          <w:bottom w:w="0" w:type="dxa"/>
          <w:right w:w="108" w:type="dxa"/>
        </w:tblCellMar>
      </w:tblPr>
      <w:tblGrid>
        <w:gridCol w:w="675"/>
        <w:gridCol w:w="33"/>
        <w:gridCol w:w="959"/>
        <w:gridCol w:w="141"/>
        <w:gridCol w:w="4659"/>
        <w:gridCol w:w="19"/>
        <w:gridCol w:w="3579"/>
      </w:tblGrid>
      <w:tr>
        <w:trPr/>
        <w:tc>
          <w:tcPr>
            <w:tcW w:w="1667" w:type="dxa"/>
            <w:gridSpan w:val="3"/>
            <w:tcBorders/>
          </w:tcPr>
          <w:p>
            <w:pPr>
              <w:pStyle w:val="Normal"/>
              <w:spacing w:before="60" w:after="60"/>
              <w:rPr>
                <w:rFonts w:ascii="Arial" w:hAnsi="Arial" w:cs="Arial"/>
                <w:b/>
              </w:rPr>
            </w:pPr>
            <w:r>
              <w:rPr>
                <w:rFonts w:cs="Arial" w:ascii="Arial" w:hAnsi="Arial"/>
                <w:b/>
              </w:rPr>
              <w:t>Department</w:t>
            </w:r>
          </w:p>
        </w:tc>
        <w:tc>
          <w:tcPr>
            <w:tcW w:w="8398" w:type="dxa"/>
            <w:gridSpan w:val="4"/>
            <w:tcBorders/>
            <w:vAlign w:val="center"/>
          </w:tcPr>
          <w:p>
            <w:pPr>
              <w:pStyle w:val="Normal"/>
              <w:spacing w:before="60" w:after="60"/>
              <w:rPr>
                <w:rFonts w:ascii="Arial" w:hAnsi="Arial" w:cs="Arial"/>
                <w:b/>
              </w:rPr>
            </w:pPr>
            <w:r>
              <w:rPr>
                <w:rFonts w:cs="Arial" w:ascii="Arial" w:hAnsi="Arial"/>
                <w:b/>
              </w:rPr>
              <w:t>CORPORATE RESOURCES</w:t>
            </w:r>
          </w:p>
        </w:tc>
      </w:tr>
      <w:tr>
        <w:trPr/>
        <w:tc>
          <w:tcPr>
            <w:tcW w:w="1667" w:type="dxa"/>
            <w:gridSpan w:val="3"/>
            <w:tcBorders>
              <w:bottom w:val="single" w:sz="4" w:space="0" w:color="000000"/>
            </w:tcBorders>
          </w:tcPr>
          <w:p>
            <w:pPr>
              <w:pStyle w:val="Normal"/>
              <w:spacing w:before="60" w:after="240"/>
              <w:rPr>
                <w:rFonts w:ascii="Arial" w:hAnsi="Arial" w:cs="Arial"/>
                <w:b/>
              </w:rPr>
            </w:pPr>
            <w:r>
              <w:rPr>
                <w:rFonts w:cs="Arial" w:ascii="Arial" w:hAnsi="Arial"/>
                <w:b/>
              </w:rPr>
              <w:t>Job Title</w:t>
            </w:r>
          </w:p>
        </w:tc>
        <w:tc>
          <w:tcPr>
            <w:tcW w:w="8398" w:type="dxa"/>
            <w:gridSpan w:val="4"/>
            <w:tcBorders>
              <w:bottom w:val="single" w:sz="4" w:space="0" w:color="000000"/>
            </w:tcBorders>
            <w:vAlign w:val="center"/>
          </w:tcPr>
          <w:p>
            <w:pPr>
              <w:pStyle w:val="Normal"/>
              <w:spacing w:before="60" w:after="60"/>
              <w:rPr>
                <w:rFonts w:ascii="Arial" w:hAnsi="Arial" w:cs="Arial"/>
                <w:b/>
                <w:bCs/>
              </w:rPr>
            </w:pPr>
            <w:r>
              <w:rPr>
                <w:rFonts w:cs="Arial" w:ascii="Arial" w:hAnsi="Arial"/>
                <w:b/>
                <w:bCs/>
              </w:rPr>
              <w:t>FIRE SAFETY MANAGER</w:t>
            </w:r>
          </w:p>
        </w:tc>
      </w:tr>
      <w:tr>
        <w:trPr/>
        <w:tc>
          <w:tcPr>
            <w:tcW w:w="1667"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398" w:type="dxa"/>
            <w:gridSpan w:val="4"/>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486" w:type="dxa"/>
            <w:gridSpan w:val="6"/>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357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390" w:type="dxa"/>
            <w:gridSpan w:val="6"/>
            <w:tcBorders>
              <w:bottom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5"/>
            <w:tcBorders>
              <w:top w:val="single" w:sz="4" w:space="0" w:color="000000"/>
              <w:bottom w:val="single" w:sz="4" w:space="0" w:color="000000"/>
            </w:tcBorders>
          </w:tcPr>
          <w:p>
            <w:pPr>
              <w:pStyle w:val="Normal"/>
              <w:spacing w:before="120" w:after="120"/>
              <w:ind w:right="175"/>
              <w:jc w:val="both"/>
              <w:rPr>
                <w:rFonts w:ascii="Arial" w:hAnsi="Arial" w:cs="Arial"/>
              </w:rPr>
            </w:pPr>
            <w:r>
              <w:rPr>
                <w:rFonts w:cs="Arial" w:ascii="Arial" w:hAnsi="Arial"/>
              </w:rPr>
              <w:t>Significant experience in fire safety management within a property or facilities environment, ideally within a local authority or public sector setting.</w:t>
            </w:r>
          </w:p>
        </w:tc>
        <w:tc>
          <w:tcPr>
            <w:tcW w:w="357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5"/>
            <w:tcBorders>
              <w:top w:val="single" w:sz="4" w:space="0" w:color="000000"/>
              <w:bottom w:val="single" w:sz="4" w:space="0" w:color="000000"/>
            </w:tcBorders>
          </w:tcPr>
          <w:p>
            <w:pPr>
              <w:pStyle w:val="Normal"/>
              <w:spacing w:before="120" w:after="120"/>
              <w:ind w:right="175"/>
              <w:jc w:val="both"/>
              <w:rPr>
                <w:rFonts w:ascii="Arial" w:hAnsi="Arial" w:cs="Arial"/>
              </w:rPr>
            </w:pPr>
            <w:r>
              <w:rPr>
                <w:rFonts w:cs="Arial" w:ascii="Arial" w:hAnsi="Arial"/>
              </w:rPr>
              <w:t>Experience managing fire safety across large and diverse property portfolios, including civic buildings, schools and operational assets.</w:t>
            </w:r>
          </w:p>
        </w:tc>
        <w:tc>
          <w:tcPr>
            <w:tcW w:w="357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811" w:type="dxa"/>
            <w:gridSpan w:val="5"/>
            <w:tcBorders>
              <w:top w:val="single" w:sz="4" w:space="0" w:color="000000"/>
              <w:bottom w:val="single" w:sz="4" w:space="0" w:color="000000"/>
            </w:tcBorders>
          </w:tcPr>
          <w:p>
            <w:pPr>
              <w:pStyle w:val="Normal"/>
              <w:spacing w:before="120" w:after="120"/>
              <w:ind w:right="175"/>
              <w:jc w:val="both"/>
              <w:rPr>
                <w:rFonts w:ascii="Arial" w:hAnsi="Arial" w:cs="Arial"/>
              </w:rPr>
            </w:pPr>
            <w:r>
              <w:rPr>
                <w:rFonts w:cs="Arial" w:ascii="Arial" w:hAnsi="Arial"/>
              </w:rPr>
              <w:t>Strong understanding of fire safety legislation, guidance and standards, including risk assessment, fire door requirements and compartmentation.</w:t>
            </w:r>
          </w:p>
        </w:tc>
        <w:tc>
          <w:tcPr>
            <w:tcW w:w="3579"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4.</w:t>
            </w:r>
          </w:p>
        </w:tc>
        <w:tc>
          <w:tcPr>
            <w:tcW w:w="5811" w:type="dxa"/>
            <w:gridSpan w:val="5"/>
            <w:tcBorders>
              <w:bottom w:val="single" w:sz="4" w:space="0" w:color="000000"/>
            </w:tcBorders>
          </w:tcPr>
          <w:p>
            <w:pPr>
              <w:pStyle w:val="Normal"/>
              <w:spacing w:before="120" w:after="120"/>
              <w:ind w:right="175"/>
              <w:jc w:val="both"/>
              <w:rPr>
                <w:rFonts w:ascii="Arial" w:hAnsi="Arial" w:cs="Arial"/>
              </w:rPr>
            </w:pPr>
            <w:r>
              <w:rPr>
                <w:rFonts w:cs="Arial" w:ascii="Arial" w:hAnsi="Arial"/>
              </w:rPr>
              <w:t>Experience developing and implementing fire safety strategies, policies and compliance frameworks.</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5.</w:t>
            </w:r>
          </w:p>
        </w:tc>
        <w:tc>
          <w:tcPr>
            <w:tcW w:w="5811" w:type="dxa"/>
            <w:gridSpan w:val="5"/>
            <w:tcBorders>
              <w:bottom w:val="single" w:sz="4" w:space="0" w:color="000000"/>
            </w:tcBorders>
          </w:tcPr>
          <w:p>
            <w:pPr>
              <w:pStyle w:val="Normal"/>
              <w:spacing w:before="120" w:after="120"/>
              <w:ind w:right="175"/>
              <w:jc w:val="both"/>
              <w:rPr>
                <w:rFonts w:ascii="Arial" w:hAnsi="Arial" w:cs="Arial"/>
              </w:rPr>
            </w:pPr>
            <w:r>
              <w:rPr>
                <w:rFonts w:cs="Arial" w:ascii="Arial" w:hAnsi="Arial"/>
              </w:rPr>
              <w:t>Ability to maintain and interpret technical fire safety data, including FRA outputs, compliance registers and asset information.</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6.</w:t>
            </w:r>
          </w:p>
        </w:tc>
        <w:tc>
          <w:tcPr>
            <w:tcW w:w="5811" w:type="dxa"/>
            <w:gridSpan w:val="5"/>
            <w:tcBorders>
              <w:bottom w:val="single" w:sz="4" w:space="0" w:color="000000"/>
            </w:tcBorders>
          </w:tcPr>
          <w:p>
            <w:pPr>
              <w:pStyle w:val="Normal"/>
              <w:spacing w:before="120" w:after="120"/>
              <w:ind w:right="175"/>
              <w:jc w:val="both"/>
              <w:rPr>
                <w:rFonts w:ascii="Arial" w:hAnsi="Arial" w:cs="Arial"/>
              </w:rPr>
            </w:pPr>
            <w:r>
              <w:rPr>
                <w:rFonts w:cs="Arial" w:ascii="Arial" w:hAnsi="Arial"/>
              </w:rPr>
              <w:t>Experience specifying and managing fire safety works and projects, including contractor oversight and quality assurance.</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7.</w:t>
            </w:r>
          </w:p>
        </w:tc>
        <w:tc>
          <w:tcPr>
            <w:tcW w:w="5811" w:type="dxa"/>
            <w:gridSpan w:val="5"/>
            <w:tcBorders>
              <w:bottom w:val="single" w:sz="4" w:space="0" w:color="000000"/>
            </w:tcBorders>
          </w:tcPr>
          <w:p>
            <w:pPr>
              <w:pStyle w:val="Normal"/>
              <w:spacing w:before="120" w:after="120"/>
              <w:ind w:right="175"/>
              <w:jc w:val="both"/>
              <w:rPr>
                <w:rFonts w:ascii="Arial" w:hAnsi="Arial" w:cs="Arial"/>
              </w:rPr>
            </w:pPr>
            <w:r>
              <w:rPr>
                <w:rFonts w:cs="Arial" w:ascii="Arial" w:hAnsi="Arial"/>
              </w:rPr>
              <w:t>Strong knowledge of procurement processes, contract management and performance monitoring.</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8.</w:t>
            </w:r>
          </w:p>
        </w:tc>
        <w:tc>
          <w:tcPr>
            <w:tcW w:w="5811" w:type="dxa"/>
            <w:gridSpan w:val="5"/>
            <w:tcBorders>
              <w:bottom w:val="single" w:sz="4" w:space="0" w:color="000000"/>
            </w:tcBorders>
          </w:tcPr>
          <w:p>
            <w:pPr>
              <w:pStyle w:val="Normal"/>
              <w:spacing w:before="120" w:after="120"/>
              <w:ind w:right="175"/>
              <w:jc w:val="both"/>
              <w:rPr>
                <w:rFonts w:ascii="Arial" w:hAnsi="Arial" w:cs="Arial"/>
              </w:rPr>
            </w:pPr>
            <w:r>
              <w:rPr>
                <w:rFonts w:cs="Arial" w:ascii="Arial" w:hAnsi="Arial"/>
              </w:rPr>
              <w:t>Strong knowledge of procurement processes, contract management and performance monitoring.</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9.</w:t>
            </w:r>
          </w:p>
        </w:tc>
        <w:tc>
          <w:tcPr>
            <w:tcW w:w="5811" w:type="dxa"/>
            <w:gridSpan w:val="5"/>
            <w:tcBorders>
              <w:bottom w:val="single" w:sz="4" w:space="0" w:color="000000"/>
            </w:tcBorders>
          </w:tcPr>
          <w:p>
            <w:pPr>
              <w:pStyle w:val="Normal"/>
              <w:spacing w:before="120" w:after="120"/>
              <w:ind w:right="175"/>
              <w:jc w:val="both"/>
              <w:rPr>
                <w:rFonts w:ascii="Arial" w:hAnsi="Arial" w:cs="Arial"/>
              </w:rPr>
            </w:pPr>
            <w:r>
              <w:rPr>
                <w:rFonts w:cs="Arial" w:ascii="Arial" w:hAnsi="Arial"/>
              </w:rPr>
              <w:t>Competent in the use of Microsoft Office and asset/compliance management systems.</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bottom w:val="single" w:sz="4" w:space="0" w:color="000000"/>
            </w:tcBorders>
          </w:tcPr>
          <w:p>
            <w:pPr>
              <w:pStyle w:val="Normal"/>
              <w:spacing w:before="120" w:after="120"/>
              <w:rPr>
                <w:rFonts w:ascii="Arial" w:hAnsi="Arial" w:cs="Arial"/>
              </w:rPr>
            </w:pPr>
            <w:r>
              <w:rPr>
                <w:rFonts w:cs="Arial" w:ascii="Arial" w:hAnsi="Arial"/>
              </w:rPr>
              <w:t>10.</w:t>
            </w:r>
          </w:p>
        </w:tc>
        <w:tc>
          <w:tcPr>
            <w:tcW w:w="5811" w:type="dxa"/>
            <w:gridSpan w:val="5"/>
            <w:tcBorders>
              <w:bottom w:val="single" w:sz="4" w:space="0" w:color="000000"/>
            </w:tcBorders>
          </w:tcPr>
          <w:p>
            <w:pPr>
              <w:pStyle w:val="Normal"/>
              <w:spacing w:before="120" w:after="120"/>
              <w:ind w:right="175"/>
              <w:jc w:val="both"/>
              <w:rPr>
                <w:rFonts w:ascii="Arial" w:hAnsi="Arial" w:cs="Arial"/>
              </w:rPr>
            </w:pPr>
            <w:r>
              <w:rPr>
                <w:rFonts w:cs="Arial" w:ascii="Arial" w:hAnsi="Arial"/>
              </w:rPr>
              <w:t>Demonstrable ability to challenge, influence and provide technical assurance in a multi-disciplinary environment.</w:t>
            </w:r>
          </w:p>
        </w:tc>
        <w:tc>
          <w:tcPr>
            <w:tcW w:w="3579" w:type="dxa"/>
            <w:tcBorders>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cPr>
          <w:p>
            <w:pPr>
              <w:pStyle w:val="Normal"/>
              <w:spacing w:before="120" w:after="120"/>
              <w:rPr>
                <w:rFonts w:ascii="Arial" w:hAnsi="Arial" w:cs="Arial"/>
              </w:rPr>
            </w:pPr>
            <w:r>
              <w:rPr>
                <w:rFonts w:cs="Arial" w:ascii="Arial" w:hAnsi="Arial"/>
              </w:rPr>
              <w:t>11.</w:t>
            </w:r>
          </w:p>
        </w:tc>
        <w:tc>
          <w:tcPr>
            <w:tcW w:w="5811" w:type="dxa"/>
            <w:gridSpan w:val="5"/>
            <w:tcBorders/>
          </w:tcPr>
          <w:p>
            <w:pPr>
              <w:pStyle w:val="Normal"/>
              <w:spacing w:before="120" w:after="120"/>
              <w:ind w:right="175"/>
              <w:jc w:val="both"/>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w:t>
            </w:r>
          </w:p>
        </w:tc>
        <w:tc>
          <w:tcPr>
            <w:tcW w:w="3579" w:type="dxa"/>
            <w:tcBorders/>
          </w:tcPr>
          <w:p>
            <w:pPr>
              <w:pStyle w:val="Normal"/>
              <w:spacing w:before="120" w:after="120"/>
              <w:rPr>
                <w:rFonts w:ascii="Arial" w:hAnsi="Arial" w:cs="Arial"/>
              </w:rPr>
            </w:pPr>
            <w:r>
              <w:rPr>
                <w:rFonts w:cs="Arial" w:ascii="Arial" w:hAnsi="Arial"/>
              </w:rPr>
              <w:t>Interview</w:t>
            </w:r>
          </w:p>
        </w:tc>
      </w:tr>
      <w:tr>
        <w:trPr>
          <w:cantSplit w:val="true"/>
        </w:trPr>
        <w:tc>
          <w:tcPr>
            <w:tcW w:w="1006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3"/>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Relevant fire safety qualification (e.g. Level 4/5 Fire Safety or equivalent), NEBOSH Fire Certificate or equivalent).</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3"/>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Membership of, or working towards, a recognised professional body (e.g. IFSM, IFE).</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59" w:type="dxa"/>
            <w:gridSpan w:val="3"/>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Evidence of continuous professional development within fire safety and compliance disciplines.</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1006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 xml:space="preserve">This role requires the job holder to be physically fit and able to carry out aspects of the job such as lifting/carrying/standing for lengthy periods. </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Interview  </w:t>
            </w:r>
          </w:p>
        </w:tc>
      </w:tr>
      <w:tr>
        <w:trPr>
          <w:cantSplit w:val="true"/>
        </w:trPr>
        <w:tc>
          <w:tcPr>
            <w:tcW w:w="70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5.</w:t>
            </w:r>
          </w:p>
        </w:tc>
        <w:tc>
          <w:tcPr>
            <w:tcW w:w="5759" w:type="dxa"/>
            <w:gridSpan w:val="3"/>
            <w:tcBorders>
              <w:top w:val="single" w:sz="4" w:space="0" w:color="000000"/>
              <w:bottom w:val="single" w:sz="4" w:space="0" w:color="000000"/>
            </w:tcBorders>
          </w:tcPr>
          <w:p>
            <w:pPr>
              <w:pStyle w:val="Normal"/>
              <w:spacing w:before="120" w:after="120"/>
              <w:jc w:val="both"/>
              <w:rPr>
                <w:rFonts w:ascii="Arial" w:hAnsi="Arial" w:cs="Arial"/>
              </w:rPr>
            </w:pPr>
            <w:r>
              <w:rPr>
                <w:rFonts w:cs="Arial" w:ascii="Arial" w:hAnsi="Arial"/>
              </w:rPr>
              <w:t>Posts that are designated as Information Asset Owners will be expected to lead and foster a culture that values, protects and uses information for the public good.  They must know what information the asset holds, what enters and leaves it and why, being responsible for maintaining this overview within the Councils Information Asset Register. The IAO will also need to know who has access and why and ensure their use of the asset is monitored and used for service delivery and performance management, understand and address risks to the asset and provide assurance to the SIRO/ DSIRO. Ultimately, the IAO must ensure the asset is fully used for the public good, including responding to access requests, audits and transparency /open data requests.</w:t>
            </w:r>
          </w:p>
        </w:tc>
        <w:tc>
          <w:tcPr>
            <w:tcW w:w="3598" w:type="dxa"/>
            <w:gridSpan w:val="2"/>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Interview</w:t>
            </w:r>
          </w:p>
        </w:tc>
      </w:tr>
      <w:tr>
        <w:trPr>
          <w:trHeight w:val="653" w:hRule="atLeast"/>
        </w:trPr>
        <w:tc>
          <w:tcPr>
            <w:tcW w:w="1808" w:type="dxa"/>
            <w:gridSpan w:val="4"/>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76" w:before="0" w:after="200"/>
              <w:jc w:val="left"/>
              <w:rPr>
                <w:rFonts w:ascii="Arial" w:hAnsi="Arial" w:cs="Arial"/>
                <w:b/>
              </w:rPr>
            </w:pPr>
            <w:r>
              <w:rPr>
                <w:rFonts w:cs="Arial" w:ascii="Arial" w:hAnsi="Arial"/>
                <w:b/>
              </w:rPr>
              <w:t>STAGE TWO</w:t>
            </w:r>
          </w:p>
        </w:tc>
        <w:tc>
          <w:tcPr>
            <w:tcW w:w="8257" w:type="dxa"/>
            <w:gridSpan w:val="3"/>
            <w:tcBorders>
              <w:top w:val="single" w:sz="4" w:space="0" w:color="000000"/>
              <w:left w:val="single" w:sz="4" w:space="0" w:color="000000"/>
              <w:bottom w:val="single" w:sz="4" w:space="0" w:color="000000"/>
              <w:right w:val="single" w:sz="4" w:space="0" w:color="000000"/>
            </w:tcBorders>
          </w:tcPr>
          <w:p>
            <w:pPr>
              <w:pStyle w:val="Normal"/>
              <w:spacing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86" w:type="dxa"/>
            <w:gridSpan w:val="6"/>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Additional Requirements</w:t>
            </w:r>
          </w:p>
        </w:tc>
        <w:tc>
          <w:tcPr>
            <w:tcW w:w="3579" w:type="dxa"/>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color w:val="FFFFFF"/>
              </w:rPr>
            </w:pPr>
            <w:r>
              <w:rPr>
                <w:rFonts w:cs="Arial" w:ascii="Arial" w:hAnsi="Arial"/>
                <w:b/>
                <w:color w:val="FFFFFF"/>
              </w:rPr>
              <w:t>Method of Assessment</w:t>
            </w:r>
          </w:p>
        </w:tc>
      </w:tr>
      <w:tr>
        <w:trPr>
          <w:cantSplit w:val="true"/>
        </w:trPr>
        <w:tc>
          <w:tcPr>
            <w:tcW w:w="1006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1.</w:t>
              <w:tab/>
              <w:t>Skills and Knowledge</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5"/>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Knowledge of CDM Regulations 2015 and integration of fire safety within construction projects.</w:t>
            </w:r>
          </w:p>
        </w:tc>
        <w:tc>
          <w:tcPr>
            <w:tcW w:w="3579"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5"/>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Experience in incident investigation and emergency response, including liaison with Fire and Rescue Services.</w:t>
            </w:r>
          </w:p>
        </w:tc>
        <w:tc>
          <w:tcPr>
            <w:tcW w:w="3579"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1006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5"/>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Project management qualification (e.g. PRINCE2 or equivalent).</w:t>
            </w:r>
          </w:p>
        </w:tc>
        <w:tc>
          <w:tcPr>
            <w:tcW w:w="3579"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r>
        <w:trPr>
          <w:cantSplit w:val="true"/>
        </w:trPr>
        <w:tc>
          <w:tcPr>
            <w:tcW w:w="675" w:type="dxa"/>
            <w:tcBorders>
              <w:top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5"/>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Health and safety qualification (e.g. NEBOSH General Certificate or equivalent).</w:t>
            </w:r>
          </w:p>
        </w:tc>
        <w:tc>
          <w:tcPr>
            <w:tcW w:w="3579"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Application Form/Interview</w:t>
            </w:r>
          </w:p>
        </w:tc>
      </w:tr>
    </w:tbl>
    <w:p>
      <w:pPr>
        <w:pStyle w:val="Normal"/>
        <w:spacing w:lineRule="auto" w:line="240" w:before="0" w:after="0"/>
        <w:rPr>
          <w:rFonts w:ascii="Arial" w:hAnsi="Arial" w:cs="Arial"/>
          <w:b/>
        </w:rPr>
      </w:pPr>
      <w:r>
        <w:rPr>
          <w:rFonts w:cs="Arial" w:ascii="Arial" w:hAnsi="Arial"/>
          <w:b/>
        </w:rPr>
      </w:r>
    </w:p>
    <w:tbl>
      <w:tblPr>
        <w:tblW w:w="9627" w:type="dxa"/>
        <w:jc w:val="left"/>
        <w:tblInd w:w="108" w:type="dxa"/>
        <w:tblLayout w:type="fixed"/>
        <w:tblCellMar>
          <w:top w:w="0" w:type="dxa"/>
          <w:left w:w="108" w:type="dxa"/>
          <w:bottom w:w="0" w:type="dxa"/>
          <w:right w:w="108" w:type="dxa"/>
        </w:tblCellMar>
      </w:tblPr>
      <w:tblGrid>
        <w:gridCol w:w="5812"/>
        <w:gridCol w:w="3815"/>
      </w:tblGrid>
      <w:tr>
        <w:trPr/>
        <w:tc>
          <w:tcPr>
            <w:tcW w:w="5812" w:type="dxa"/>
            <w:tcBorders/>
          </w:tcPr>
          <w:p>
            <w:pPr>
              <w:pStyle w:val="Normal"/>
              <w:spacing w:lineRule="auto" w:line="240" w:before="0" w:after="0"/>
              <w:rPr>
                <w:rFonts w:ascii="Arial" w:hAnsi="Arial" w:cs="Arial"/>
                <w:b/>
              </w:rPr>
            </w:pPr>
            <w:r>
              <w:rPr>
                <w:rFonts w:cs="Arial" w:ascii="Arial" w:hAnsi="Arial"/>
                <w:b/>
              </w:rPr>
              <w:t>Date Person Specification prepared:</w:t>
            </w:r>
          </w:p>
        </w:tc>
        <w:tc>
          <w:tcPr>
            <w:tcW w:w="3815" w:type="dxa"/>
            <w:tcBorders/>
          </w:tcPr>
          <w:p>
            <w:pPr>
              <w:pStyle w:val="Normal"/>
              <w:spacing w:lineRule="auto" w:line="240" w:before="0" w:after="0"/>
              <w:rPr>
                <w:rFonts w:ascii="Arial" w:hAnsi="Arial" w:cs="Arial"/>
                <w:b/>
              </w:rPr>
            </w:pPr>
            <w:r>
              <w:rPr>
                <w:rFonts w:cs="Arial" w:ascii="Arial" w:hAnsi="Arial"/>
                <w:b/>
              </w:rPr>
              <w:t>June 2025</w:t>
            </w:r>
          </w:p>
        </w:tc>
      </w:tr>
      <w:tr>
        <w:trPr/>
        <w:tc>
          <w:tcPr>
            <w:tcW w:w="5812" w:type="dxa"/>
            <w:tcBorders/>
          </w:tcPr>
          <w:p>
            <w:pPr>
              <w:pStyle w:val="Normal"/>
              <w:spacing w:lineRule="auto" w:line="240" w:before="0" w:after="0"/>
              <w:rPr>
                <w:rFonts w:ascii="Arial" w:hAnsi="Arial" w:cs="Arial"/>
                <w:b/>
              </w:rPr>
            </w:pPr>
            <w:r>
              <w:rPr>
                <w:rFonts w:cs="Arial" w:ascii="Arial" w:hAnsi="Arial"/>
                <w:b/>
              </w:rPr>
              <w:t>Person Specification prepared by:</w:t>
            </w:r>
          </w:p>
        </w:tc>
        <w:tc>
          <w:tcPr>
            <w:tcW w:w="3815" w:type="dxa"/>
            <w:tcBorders/>
          </w:tcPr>
          <w:p>
            <w:pPr>
              <w:pStyle w:val="Normal"/>
              <w:spacing w:lineRule="auto" w:line="240" w:before="0" w:after="0"/>
              <w:rPr>
                <w:rFonts w:ascii="Arial" w:hAnsi="Arial" w:cs="Arial"/>
                <w:b/>
              </w:rPr>
            </w:pPr>
            <w:r>
              <w:rPr>
                <w:rFonts w:cs="Arial" w:ascii="Arial" w:hAnsi="Arial"/>
                <w:b/>
              </w:rPr>
              <w:t>FM Operations Manager</w:t>
            </w:r>
          </w:p>
        </w:tc>
      </w:tr>
    </w:tbl>
    <w:p>
      <w:pPr>
        <w:pStyle w:val="Normal"/>
        <w:spacing w:lineRule="auto" w:line="240" w:before="0" w:after="0"/>
        <w:rPr>
          <w:rFonts w:ascii="Arial" w:hAnsi="Arial" w:cs="Arial"/>
          <w:b/>
        </w:rPr>
      </w:pPr>
      <w:r>
        <w:rPr>
          <w:rFonts w:cs="Arial" w:ascii="Arial" w:hAnsi="Arial"/>
          <w:b/>
        </w:rPr>
      </w:r>
    </w:p>
    <w:p>
      <w:pPr>
        <w:sectPr>
          <w:headerReference w:type="default" r:id="rId5"/>
          <w:headerReference w:type="first" r:id="rId6"/>
          <w:footerReference w:type="default" r:id="rId7"/>
          <w:footerReference w:type="first" r:id="rId8"/>
          <w:type w:val="nextPage"/>
          <w:pgSz w:w="11906" w:h="16838"/>
          <w:pgMar w:left="1134" w:right="1134" w:gutter="0" w:header="709" w:top="1361" w:footer="709" w:bottom="1134"/>
          <w:pgNumType w:fmt="decimal"/>
          <w:formProt w:val="false"/>
          <w:textDirection w:val="lrTb"/>
          <w:docGrid w:type="default" w:linePitch="360" w:charSpace="4096"/>
        </w:sectPr>
        <w:pStyle w:val="Normal"/>
        <w:spacing w:lineRule="auto" w:line="240" w:before="0" w:after="0"/>
        <w:rPr>
          <w:rFonts w:ascii="Arial" w:hAnsi="Arial" w:cs="Arial"/>
          <w:b/>
        </w:rPr>
      </w:pPr>
      <w:r>
        <w:rPr>
          <w:rFonts w:cs="Arial" w:ascii="Arial" w:hAnsi="Arial"/>
          <w:b/>
        </w:rPr>
      </w:r>
    </w:p>
    <w:p>
      <w:pPr>
        <w:pStyle w:val="Normal"/>
        <w:spacing w:lineRule="auto" w:line="240" w:before="0" w:after="0"/>
        <w:jc w:val="both"/>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jc w:val="both"/>
        <w:rPr>
          <w:rFonts w:ascii="Arial" w:hAnsi="Arial" w:cs="Arial"/>
          <w:b/>
        </w:rPr>
      </w:pPr>
      <w:r>
        <w:rPr>
          <w:rFonts w:cs="Arial" w:ascii="Arial" w:hAnsi="Arial"/>
          <w:b/>
        </w:rPr>
      </w:r>
    </w:p>
    <w:p>
      <w:pPr>
        <w:pStyle w:val="Normal"/>
        <w:keepLines/>
        <w:spacing w:lineRule="auto" w:line="240" w:before="0" w:after="0"/>
        <w:jc w:val="both"/>
        <w:rPr>
          <w:rFonts w:ascii="Arial" w:hAnsi="Arial" w:cs="Arial"/>
          <w:b/>
        </w:rPr>
      </w:pPr>
      <w:r>
        <w:rPr>
          <w:rFonts w:cs="Arial" w:ascii="Arial" w:hAnsi="Arial"/>
          <w:b/>
        </w:rPr>
        <w:t>Developing Self &amp; Others</w:t>
      </w:r>
    </w:p>
    <w:p>
      <w:pPr>
        <w:pStyle w:val="Normal"/>
        <w:spacing w:lineRule="auto" w:line="240" w:before="0" w:after="0"/>
        <w:jc w:val="both"/>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Civil Contingencies</w:t>
      </w:r>
    </w:p>
    <w:p>
      <w:pPr>
        <w:pStyle w:val="Normal"/>
        <w:spacing w:lineRule="auto" w:line="240" w:before="0" w:after="0"/>
        <w:jc w:val="both"/>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Equality &amp; Diversity</w:t>
      </w:r>
    </w:p>
    <w:p>
      <w:pPr>
        <w:pStyle w:val="Normal"/>
        <w:spacing w:lineRule="auto" w:line="240" w:before="0" w:after="0"/>
        <w:jc w:val="both"/>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rPr>
      </w:pPr>
      <w:r>
        <w:rPr>
          <w:rFonts w:cs="Arial" w:ascii="Arial" w:hAnsi="Arial"/>
          <w:b/>
        </w:rPr>
        <w:t>Customer Care</w:t>
      </w:r>
    </w:p>
    <w:p>
      <w:pPr>
        <w:pStyle w:val="Normal"/>
        <w:spacing w:lineRule="auto" w:line="240" w:before="0" w:after="0"/>
        <w:jc w:val="both"/>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jc w:val="both"/>
        <w:rPr>
          <w:rFonts w:ascii="Arial" w:hAnsi="Arial" w:cs="Arial"/>
          <w:color w:val="0000FF"/>
          <w:u w:val="single"/>
        </w:rPr>
      </w:pPr>
      <w:r>
        <w:rPr>
          <w:rFonts w:cs="Arial" w:ascii="Arial" w:hAnsi="Arial"/>
          <w:color w:val="0000FF"/>
          <w:u w:val="single"/>
        </w:rPr>
      </w:r>
    </w:p>
    <w:p>
      <w:pPr>
        <w:pStyle w:val="Normal"/>
        <w:keepLines/>
        <w:spacing w:lineRule="auto" w:line="240" w:before="0" w:after="0"/>
        <w:jc w:val="both"/>
        <w:rPr>
          <w:rFonts w:ascii="Arial" w:hAnsi="Arial" w:cs="Arial"/>
          <w:b/>
        </w:rPr>
      </w:pPr>
      <w:r>
        <w:rPr>
          <w:rFonts w:cs="Arial" w:ascii="Arial" w:hAnsi="Arial"/>
          <w:b/>
        </w:rPr>
        <w:t>Health &amp; Safety</w:t>
      </w:r>
    </w:p>
    <w:p>
      <w:pPr>
        <w:pStyle w:val="Normal"/>
        <w:spacing w:lineRule="auto" w:line="240" w:before="0" w:after="0"/>
        <w:jc w:val="both"/>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Cs/>
        </w:rPr>
      </w:pPr>
      <w:r>
        <w:rPr>
          <w:rFonts w:cs="Arial" w:ascii="Arial" w:hAnsi="Arial"/>
          <w:b/>
          <w:bCs/>
        </w:rPr>
        <w:t>Data Protection and Confidentiality</w:t>
      </w:r>
    </w:p>
    <w:p>
      <w:pPr>
        <w:pStyle w:val="Normal"/>
        <w:spacing w:lineRule="auto" w:line="240" w:before="0" w:after="0"/>
        <w:jc w:val="both"/>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lang w:val="en-US"/>
        </w:rPr>
      </w:pPr>
      <w:r>
        <w:rPr>
          <w:rFonts w:cs="Arial" w:ascii="Arial" w:hAnsi="Arial"/>
          <w:b/>
          <w:lang w:val="en-US"/>
        </w:rPr>
        <w:t>Fluency Duty</w:t>
      </w:r>
    </w:p>
    <w:p>
      <w:pPr>
        <w:pStyle w:val="Normal"/>
        <w:spacing w:lineRule="auto" w:line="240" w:before="0" w:after="0"/>
        <w:jc w:val="both"/>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jc w:val="both"/>
        <w:rPr>
          <w:rFonts w:ascii="Arial" w:hAnsi="Arial" w:cs="Arial"/>
          <w:lang w:val="en-US"/>
        </w:rPr>
      </w:pPr>
      <w:r>
        <w:rPr>
          <w:rFonts w:cs="Arial" w:ascii="Arial" w:hAnsi="Arial"/>
          <w:lang w:val="en-US"/>
        </w:rPr>
      </w:r>
    </w:p>
    <w:p>
      <w:pPr>
        <w:pStyle w:val="Normal"/>
        <w:spacing w:lineRule="auto" w:line="240" w:before="0" w:after="0"/>
        <w:jc w:val="both"/>
        <w:rPr>
          <w:rFonts w:ascii="Arial" w:hAnsi="Arial" w:cs="Arial"/>
          <w:b/>
        </w:rPr>
      </w:pPr>
      <w:r>
        <w:rPr>
          <w:rFonts w:cs="Arial" w:ascii="Arial" w:hAnsi="Arial"/>
          <w:b/>
        </w:rPr>
        <w:t>Working Hours</w:t>
      </w:r>
    </w:p>
    <w:p>
      <w:pPr>
        <w:pStyle w:val="Normal"/>
        <w:spacing w:lineRule="auto" w:line="240" w:before="0" w:after="0"/>
        <w:jc w:val="both"/>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Cs/>
          <w:iCs/>
        </w:rPr>
      </w:pPr>
      <w:r>
        <w:rPr>
          <w:rFonts w:cs="Arial" w:ascii="Arial" w:hAnsi="Arial"/>
          <w:b/>
          <w:bCs/>
          <w:iCs/>
        </w:rPr>
        <w:t>Safeguarding</w:t>
      </w:r>
    </w:p>
    <w:p>
      <w:pPr>
        <w:sectPr>
          <w:headerReference w:type="default" r:id="rId9"/>
          <w:headerReference w:type="first" r:id="rId10"/>
          <w:footerReference w:type="default" r:id="rId11"/>
          <w:footerReference w:type="first" r:id="rId12"/>
          <w:type w:val="nextPage"/>
          <w:pgSz w:w="11906" w:h="16838"/>
          <w:pgMar w:left="1134" w:right="1134" w:gutter="0" w:header="709" w:top="1361" w:footer="709" w:bottom="1134"/>
          <w:pgNumType w:fmt="decimal"/>
          <w:formProt w:val="false"/>
          <w:textDirection w:val="lrTb"/>
          <w:docGrid w:type="default" w:linePitch="360" w:charSpace="4096"/>
        </w:sectPr>
        <w:pStyle w:val="Normal"/>
        <w:jc w:val="both"/>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jc w:val="both"/>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1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18"/>
      <w:headerReference w:type="first" r:id="rId19"/>
      <w:footerReference w:type="default" r:id="rId20"/>
      <w:footerReference w:type="first" r:id="rId21"/>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September 2025</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September 2025</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September 2025</w:t>
    </w:r>
  </w:p>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September 2025</w:t>
    </w:r>
  </w:p>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