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rFonts w:ascii="Arial" w:hAnsi="Arial" w:cs="Arial"/>
          <w:b/>
          <w:b/>
          <w:bCs/>
          <w:sz w:val="40"/>
          <w:szCs w:val="40"/>
        </w:rPr>
      </w:pPr>
      <w:r>
        <w:rPr>
          <w:rFonts w:eastAsia="Arial" w:cs="Arial" w:ascii="Arial" w:hAnsi="Arial"/>
          <w:b/>
          <w:bCs/>
          <w:sz w:val="40"/>
          <w:szCs w:val="40"/>
        </w:rPr>
        <w:t xml:space="preserve"> </w:t>
      </w:r>
      <w:r>
        <w:rPr>
          <w:rFonts w:cs="Arial" w:ascii="Arial" w:hAnsi="Arial"/>
          <w:b/>
          <w:bCs/>
          <w:sz w:val="40"/>
          <w:szCs w:val="40"/>
        </w:rPr>
        <w:t>Job Description</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lang w:eastAsia="en-GB"/>
              </w:rPr>
            </w:pPr>
            <w:r>
              <w:rPr>
                <w:rFonts w:cs="Arial" w:ascii="Arial" w:hAnsi="Arial"/>
                <w:lang w:eastAsia="en-GB"/>
              </w:rPr>
              <w:t>Adults, Communities &amp; Integration</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Cs/>
              </w:rPr>
            </w:pPr>
            <w:r>
              <w:rPr>
                <w:rFonts w:cs="Arial" w:ascii="Arial" w:hAnsi="Arial"/>
                <w:bCs/>
              </w:rPr>
              <w:t>Head of Service – Adult Social Care Neighbourhoods</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Grade N</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pPr>
            <w:r>
              <w:rPr>
                <w:rFonts w:cs="Arial" w:ascii="Arial" w:hAnsi="Arial"/>
                <w:lang w:eastAsia="en-GB"/>
              </w:rPr>
              <w:t xml:space="preserve">To assist the Assistant Director Adult Social Care </w:t>
            </w:r>
            <w:r>
              <w:rPr>
                <w:rFonts w:cs="Arial" w:ascii="Arial" w:hAnsi="Arial"/>
              </w:rPr>
              <w:t xml:space="preserve">Operations &amp; Integration </w:t>
            </w:r>
            <w:r>
              <w:rPr>
                <w:rFonts w:cs="Arial" w:ascii="Arial" w:hAnsi="Arial"/>
                <w:lang w:eastAsia="en-GB"/>
              </w:rPr>
              <w:t>to do everything possible to ensure the Department fulfils its statutory duties and CQC assurance both effectively and efficiently; within this to manage and improve Adult Social Work and the delivery of Social Care and Community Health services.</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pPr>
            <w:r>
              <w:rPr>
                <w:rFonts w:cs="Arial" w:ascii="Arial" w:hAnsi="Arial"/>
                <w:lang w:eastAsia="en-GB"/>
              </w:rPr>
              <w:t xml:space="preserve">Assistant Director Adult Social Care </w:t>
            </w:r>
            <w:r>
              <w:rPr>
                <w:rFonts w:cs="Arial" w:ascii="Arial" w:hAnsi="Arial"/>
              </w:rPr>
              <w:t>Operations &amp; Integration</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lang w:eastAsia="en-GB"/>
              </w:rPr>
            </w:pPr>
            <w:r>
              <w:rPr>
                <w:rFonts w:cs="Arial" w:ascii="Arial" w:hAnsi="Arial"/>
                <w:lang w:eastAsia="en-GB"/>
              </w:rPr>
              <w:t>Responsibilities for Adult Social Work Service/Teams</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808"/>
        <w:gridCol w:w="8829"/>
      </w:tblGrid>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w:t>
            </w:r>
          </w:p>
        </w:tc>
        <w:tc>
          <w:tcPr>
            <w:tcW w:w="8829" w:type="dxa"/>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be responsible for the management, assessment and planning of needs led services in accordance with legislation, national and local policies and best practice including the protection and safeguarding of Children and Adults.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w:t>
            </w:r>
          </w:p>
        </w:tc>
        <w:tc>
          <w:tcPr>
            <w:tcW w:w="8829" w:type="dxa"/>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manage change in within services, system and the Directorate activities.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3</w:t>
            </w:r>
          </w:p>
        </w:tc>
        <w:tc>
          <w:tcPr>
            <w:tcW w:w="8829" w:type="dxa"/>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be responsible for establishing strategies to manage and guide the work of the service.  </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4</w:t>
            </w:r>
          </w:p>
        </w:tc>
        <w:tc>
          <w:tcPr>
            <w:tcW w:w="8829" w:type="dxa"/>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manage, evaluate and improve service and team performance.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5</w:t>
            </w:r>
          </w:p>
        </w:tc>
        <w:tc>
          <w:tcPr>
            <w:tcW w:w="8829" w:type="dxa"/>
            <w:tcBorders/>
            <w:shd w:fill="auto" w:val="clear"/>
          </w:tcPr>
          <w:p>
            <w:pPr>
              <w:pStyle w:val="Normal"/>
              <w:spacing w:lineRule="auto" w:line="240" w:before="0" w:after="0"/>
              <w:rPr/>
            </w:pPr>
            <w:r>
              <w:rPr>
                <w:rFonts w:cs="Arial" w:ascii="Arial" w:hAnsi="Arial"/>
                <w:lang w:eastAsia="en-GB"/>
              </w:rPr>
              <w:t>To manage a</w:t>
            </w:r>
            <w:r>
              <w:rPr>
                <w:rFonts w:cs="Arial" w:ascii="Arial" w:hAnsi="Arial"/>
              </w:rPr>
              <w:t xml:space="preserve">nd sustain relationships with health services and promote integrated ways of working within our neighbourhoods. Develop and contribute to joint working with primary care and health colleagues to ensure the delivery of an integrated partnership approach.  </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6</w:t>
            </w:r>
          </w:p>
        </w:tc>
        <w:tc>
          <w:tcPr>
            <w:tcW w:w="8829" w:type="dxa"/>
            <w:tcBorders/>
            <w:shd w:fill="auto" w:val="clear"/>
          </w:tcPr>
          <w:p>
            <w:pPr>
              <w:pStyle w:val="Normal"/>
              <w:spacing w:lineRule="auto" w:line="240" w:before="0" w:after="0"/>
              <w:rPr>
                <w:rFonts w:ascii="Arial" w:hAnsi="Arial" w:cs="Arial"/>
              </w:rPr>
            </w:pPr>
            <w:r>
              <w:rPr>
                <w:rFonts w:cs="Arial" w:ascii="Arial" w:hAnsi="Arial"/>
              </w:rPr>
              <w:t xml:space="preserve">To ensure the specialist, primary and secondary care health needs of people with needs continue to be (are) integral to future service design.  </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7</w:t>
            </w:r>
          </w:p>
        </w:tc>
        <w:tc>
          <w:tcPr>
            <w:tcW w:w="8829" w:type="dxa"/>
            <w:tcBorders/>
            <w:shd w:fill="auto" w:val="clear"/>
          </w:tcPr>
          <w:p>
            <w:pPr>
              <w:pStyle w:val="Normal"/>
              <w:spacing w:lineRule="auto" w:line="240" w:before="0" w:after="0"/>
              <w:rPr>
                <w:rFonts w:ascii="Arial" w:hAnsi="Arial" w:cs="Arial"/>
              </w:rPr>
            </w:pPr>
            <w:r>
              <w:rPr>
                <w:rFonts w:cs="Arial" w:ascii="Arial" w:hAnsi="Arial"/>
              </w:rPr>
              <w:t xml:space="preserve">To provide advice and leadership to operational managers in discarding of their statutory safeguarding duties and provide support to partners by providing support and guidance on safeguarding whist overseeing continuous improvement in service delivery. </w:t>
            </w:r>
          </w:p>
          <w:p>
            <w:pPr>
              <w:pStyle w:val="Normal"/>
              <w:tabs>
                <w:tab w:val="clear" w:pos="720"/>
                <w:tab w:val="right" w:pos="8613" w:leader="none"/>
              </w:tabs>
              <w:spacing w:lineRule="auto" w:line="240" w:before="0" w:after="0"/>
              <w:rPr/>
            </w:pPr>
            <w:r>
              <w:rPr>
                <w:rFonts w:eastAsia="Arial" w:cs="Arial" w:ascii="Arial" w:hAnsi="Arial"/>
              </w:rPr>
              <w:t xml:space="preserve"> </w:t>
            </w:r>
            <w:r>
              <w:rPr>
                <w:rFonts w:cs="Arial" w:ascii="Arial" w:hAnsi="Arial"/>
              </w:rPr>
              <w:tab/>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8</w:t>
            </w:r>
          </w:p>
        </w:tc>
        <w:tc>
          <w:tcPr>
            <w:tcW w:w="8829" w:type="dxa"/>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carry out and support the management of Safeguarding Adult Reviews on before of Bolton Safeguarding Partnership and implement any action plans and learning. </w:t>
            </w:r>
          </w:p>
          <w:p>
            <w:pPr>
              <w:pStyle w:val="Normal"/>
              <w:spacing w:lineRule="auto" w:line="240" w:before="0" w:after="0"/>
              <w:rPr>
                <w:rFonts w:ascii="Arial" w:hAnsi="Arial" w:cs="Arial"/>
                <w:lang w:eastAsia="en-GB"/>
              </w:rPr>
            </w:pPr>
            <w:r>
              <w:rPr>
                <w:rFonts w:cs="Arial" w:ascii="Arial" w:hAnsi="Arial"/>
                <w:lang w:eastAsia="en-GB"/>
              </w:rPr>
            </w:r>
          </w:p>
        </w:tc>
      </w:tr>
    </w:tbl>
    <w:p>
      <w:pPr>
        <w:pStyle w:val="Normal"/>
        <w:rPr/>
      </w:pPr>
      <w:r>
        <w:rPr/>
      </w:r>
      <w:r>
        <w:br w:type="page"/>
      </w:r>
    </w:p>
    <w:tbl>
      <w:tblPr>
        <w:tblW w:w="9637" w:type="dxa"/>
        <w:jc w:val="left"/>
        <w:tblInd w:w="0" w:type="dxa"/>
        <w:tblCellMar>
          <w:top w:w="0" w:type="dxa"/>
          <w:left w:w="108" w:type="dxa"/>
          <w:bottom w:w="0" w:type="dxa"/>
          <w:right w:w="108" w:type="dxa"/>
        </w:tblCellMar>
      </w:tblPr>
      <w:tblGrid>
        <w:gridCol w:w="808"/>
        <w:gridCol w:w="3764"/>
        <w:gridCol w:w="5065"/>
      </w:tblGrid>
      <w:tr>
        <w:trPr>
          <w:trHeight w:val="506" w:hRule="atLeast"/>
        </w:trPr>
        <w:tc>
          <w:tcPr>
            <w:tcW w:w="808" w:type="dxa"/>
            <w:tcBorders/>
            <w:shd w:fill="auto" w:val="clear"/>
          </w:tcPr>
          <w:p>
            <w:pPr>
              <w:pStyle w:val="Normal"/>
              <w:pageBreakBefore/>
              <w:spacing w:lineRule="auto" w:line="240" w:before="0" w:after="0"/>
              <w:rPr>
                <w:rFonts w:ascii="Arial" w:hAnsi="Arial" w:cs="Arial"/>
                <w:b/>
                <w:b/>
              </w:rPr>
            </w:pPr>
            <w:r>
              <w:rPr>
                <w:rFonts w:cs="Arial" w:ascii="Arial" w:hAnsi="Arial"/>
                <w:b/>
              </w:rPr>
              <w:t>9</w:t>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secure financial resources for the department’s plans and determine the effective use of resources.  </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10</w:t>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establish information management and communications systems.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11</w:t>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robustly implement the department’s demand management strategies and any departmental service plans. </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12</w:t>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Oversee and where appropriate, actively manage the complex and high-risk cases, provide reports, statements and attend Court when required.</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13</w:t>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manage, organise, support and maintain the use of information technology systems and software.  </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14</w:t>
            </w:r>
          </w:p>
        </w:tc>
        <w:tc>
          <w:tcPr>
            <w:tcW w:w="8829" w:type="dxa"/>
            <w:gridSpan w:val="2"/>
            <w:tcBorders/>
            <w:shd w:fill="auto" w:val="clear"/>
          </w:tcPr>
          <w:p>
            <w:pPr>
              <w:pStyle w:val="Normal"/>
              <w:spacing w:lineRule="auto" w:line="240" w:before="0" w:after="0"/>
              <w:rPr/>
            </w:pPr>
            <w:r>
              <w:rPr>
                <w:rFonts w:cs="Arial" w:ascii="Arial" w:hAnsi="Arial"/>
                <w:lang w:eastAsia="en-GB"/>
              </w:rPr>
              <w:t>To use information and data to take critical decisions,</w:t>
            </w:r>
            <w:r>
              <w:rPr>
                <w:rFonts w:cs="Arial" w:ascii="Arial" w:hAnsi="Arial"/>
                <w:color w:val="FF0000"/>
                <w:lang w:eastAsia="en-GB"/>
              </w:rPr>
              <w:t xml:space="preserve"> </w:t>
            </w:r>
            <w:r>
              <w:rPr>
                <w:rFonts w:cs="Arial" w:ascii="Arial" w:hAnsi="Arial"/>
                <w:lang w:eastAsia="en-GB"/>
              </w:rPr>
              <w:t>manage performance of teams and individuals.</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15</w:t>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manage, develop and utilise a learning culture to enhance the performance of teams and individuals and have the ability to delegate work to others.  </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16</w:t>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promote the importance and benefits of quality improvement by leading and being accountable for implementing and monitoring quality assurance systems.  </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17</w:t>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have knowledge of relevant HR policies and procedures including disciplinary and grievance, safe recruitment, and retention practices.  </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18</w:t>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To be responsible for supporting management and staff teams in implementing the relevant Corporate and Adult Social Care policies and procedures.</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19</w:t>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enhance productive working relationships across the Bolton System and wider regional and national forums e.g., ADASS.  </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20</w:t>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plan prepare and manage the running of projects, including service redesign and development.  </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21</w:t>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To continuously develop own knowledge and skills and optimise own resources to meet objectives.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22</w:t>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chair and participate in meetings as appropriate.  </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23</w:t>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To represent the Council within the Integrated Care Partnership and within multi-agency forums/meetings.</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Date Job Description prepared/updated:</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December 2024</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5065" w:type="dxa"/>
            <w:tcBorders/>
            <w:shd w:fill="auto" w:val="clear"/>
          </w:tcPr>
          <w:p>
            <w:pPr>
              <w:pStyle w:val="Normal"/>
              <w:spacing w:lineRule="auto" w:line="240" w:before="0" w:after="0"/>
              <w:rPr/>
            </w:pPr>
            <w:r>
              <w:rPr>
                <w:rFonts w:cs="Arial" w:ascii="Arial" w:hAnsi="Arial"/>
                <w:b/>
                <w:lang w:eastAsia="en-GB"/>
              </w:rPr>
              <w:t xml:space="preserve">Assistant Director Adult Social Care </w:t>
            </w:r>
            <w:r>
              <w:rPr>
                <w:rFonts w:cs="Arial" w:ascii="Arial" w:hAnsi="Arial"/>
                <w:b/>
              </w:rPr>
              <w:t>Operations &amp; Integration</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b/>
          <w:b/>
          <w:bCs/>
          <w:sz w:val="40"/>
          <w:szCs w:val="40"/>
        </w:rPr>
      </w:pPr>
      <w:r>
        <w:rPr>
          <w:rFonts w:cs="Arial" w:ascii="Arial" w:hAnsi="Arial"/>
          <w:b/>
          <w:bCs/>
          <w:sz w:val="40"/>
          <w:szCs w:val="40"/>
        </w:rPr>
        <w:t>Person Specification</w:t>
      </w:r>
    </w:p>
    <w:tbl>
      <w:tblPr>
        <w:tblW w:w="9638" w:type="dxa"/>
        <w:jc w:val="left"/>
        <w:tblInd w:w="0" w:type="dxa"/>
        <w:tblCellMar>
          <w:top w:w="0" w:type="dxa"/>
          <w:left w:w="108" w:type="dxa"/>
          <w:bottom w:w="0" w:type="dxa"/>
          <w:right w:w="108" w:type="dxa"/>
        </w:tblCellMar>
      </w:tblPr>
      <w:tblGrid>
        <w:gridCol w:w="646"/>
        <w:gridCol w:w="31"/>
        <w:gridCol w:w="918"/>
        <w:gridCol w:w="135"/>
        <w:gridCol w:w="4082"/>
        <w:gridCol w:w="374"/>
        <w:gridCol w:w="19"/>
        <w:gridCol w:w="3423"/>
        <w:gridCol w:w="10"/>
      </w:tblGrid>
      <w:tr>
        <w:trPr/>
        <w:tc>
          <w:tcPr>
            <w:tcW w:w="1595" w:type="dxa"/>
            <w:gridSpan w:val="3"/>
            <w:tcBorders/>
            <w:shd w:fill="auto" w:val="clear"/>
          </w:tcPr>
          <w:p>
            <w:pPr>
              <w:pStyle w:val="Normal"/>
              <w:spacing w:lineRule="auto" w:line="240" w:before="60" w:after="60"/>
              <w:rPr>
                <w:rFonts w:ascii="Arial" w:hAnsi="Arial" w:cs="Arial"/>
                <w:b/>
                <w:b/>
              </w:rPr>
            </w:pPr>
            <w:r>
              <w:rPr>
                <w:rFonts w:cs="Arial" w:ascii="Arial" w:hAnsi="Arial"/>
                <w:b/>
              </w:rPr>
              <w:t>Department</w:t>
            </w:r>
          </w:p>
        </w:tc>
        <w:tc>
          <w:tcPr>
            <w:tcW w:w="8033" w:type="dxa"/>
            <w:gridSpan w:val="5"/>
            <w:tcBorders/>
            <w:shd w:fill="auto" w:val="clear"/>
          </w:tcPr>
          <w:p>
            <w:pPr>
              <w:pStyle w:val="Normal"/>
              <w:spacing w:lineRule="auto" w:line="240" w:before="60" w:after="60"/>
              <w:rPr>
                <w:rFonts w:ascii="Arial" w:hAnsi="Arial" w:cs="Arial"/>
                <w:lang w:eastAsia="en-GB"/>
              </w:rPr>
            </w:pPr>
            <w:r>
              <w:rPr>
                <w:rFonts w:cs="Arial" w:ascii="Arial" w:hAnsi="Arial"/>
                <w:lang w:eastAsia="en-GB"/>
              </w:rPr>
              <w:t>Adults, Communities &amp; Integration</w:t>
            </w:r>
          </w:p>
        </w:tc>
      </w:tr>
      <w:tr>
        <w:trPr/>
        <w:tc>
          <w:tcPr>
            <w:tcW w:w="1595" w:type="dxa"/>
            <w:gridSpan w:val="3"/>
            <w:tcBorders>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Job Title</w:t>
            </w:r>
          </w:p>
        </w:tc>
        <w:tc>
          <w:tcPr>
            <w:tcW w:w="8033" w:type="dxa"/>
            <w:gridSpan w:val="5"/>
            <w:tcBorders>
              <w:bottom w:val="single" w:sz="4" w:space="0" w:color="000000"/>
            </w:tcBorders>
            <w:shd w:fill="auto" w:val="clear"/>
          </w:tcPr>
          <w:p>
            <w:pPr>
              <w:pStyle w:val="Normal"/>
              <w:spacing w:lineRule="auto" w:line="240" w:before="60" w:after="60"/>
              <w:rPr>
                <w:rFonts w:ascii="Arial" w:hAnsi="Arial" w:cs="Arial"/>
                <w:bCs/>
              </w:rPr>
            </w:pPr>
            <w:r>
              <w:rPr>
                <w:rFonts w:cs="Arial" w:ascii="Arial" w:hAnsi="Arial"/>
                <w:bCs/>
              </w:rPr>
              <w:t>Head Of Service – Adult Social Care</w:t>
            </w:r>
          </w:p>
        </w:tc>
      </w:tr>
      <w:tr>
        <w:trPr/>
        <w:tc>
          <w:tcPr>
            <w:tcW w:w="1595" w:type="dxa"/>
            <w:gridSpan w:val="3"/>
            <w:tcBorders>
              <w:top w:val="single" w:sz="4" w:space="0" w:color="000000"/>
              <w:left w:val="single" w:sz="4" w:space="0" w:color="000000"/>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Stage One</w:t>
            </w:r>
          </w:p>
        </w:tc>
        <w:tc>
          <w:tcPr>
            <w:tcW w:w="8043"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InternetLink"/>
                <w:rFonts w:cs="Arial" w:ascii="Arial" w:hAnsi="Arial"/>
              </w:rPr>
              <w:t>Carers-Charter-FINAL.pdf (gmhsc.org.uk)</w:t>
            </w:r>
            <w:r>
              <w:rPr>
                <w:rFonts w:cs="Arial" w:ascii="Arial" w:hAnsi="Arial"/>
              </w:rPr>
              <w:t xml:space="preserve"> </w:t>
            </w:r>
            <w:r>
              <w:rPr>
                <w:rFonts w:cs="Arial" w:ascii="Arial" w:hAnsi="Arial"/>
                <w:bCs/>
              </w:rPr>
              <w:t>are guaranteed an interview if they meet the essential criteria for the role</w:t>
            </w:r>
          </w:p>
        </w:tc>
      </w:tr>
      <w:tr>
        <w:trPr/>
        <w:tc>
          <w:tcPr>
            <w:tcW w:w="6205" w:type="dxa"/>
            <w:gridSpan w:val="7"/>
            <w:tcBorders>
              <w:top w:val="single" w:sz="4" w:space="0" w:color="000000"/>
              <w:lef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The Minimum Essential Requirements for the above Post are as Follows:</w:t>
            </w:r>
          </w:p>
        </w:tc>
        <w:tc>
          <w:tcPr>
            <w:tcW w:w="343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 clear demonstrable and high level of understanding and application of the legislation and statutory framework affecting social care, including but not limited to: The Care Act 2014, The Mental Capacity Act (2005) and Deprivation of Liberty Safeguards, The Mental Health Act 2007, The Human Rights Act 1998</w:t>
            </w:r>
          </w:p>
        </w:tc>
        <w:tc>
          <w:tcPr>
            <w:tcW w:w="342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bCs/>
              </w:rPr>
            </w:pPr>
            <w:r>
              <w:rPr>
                <w:rFonts w:cs="Arial" w:ascii="Arial" w:hAnsi="Arial"/>
                <w:bCs/>
              </w:rPr>
              <w:t>A highly developed understanding of Government initiatives, Social Care and Health Policy and legislation</w:t>
            </w:r>
          </w:p>
        </w:tc>
        <w:tc>
          <w:tcPr>
            <w:tcW w:w="342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Demonstrable ability to ensure effective and co-ordinated service delivery in line with legislation, polices and best practice</w:t>
            </w:r>
          </w:p>
        </w:tc>
        <w:tc>
          <w:tcPr>
            <w:tcW w:w="342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Form/Interview/Assessment Centre</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Significant evidence of systematic involvement and consultation with service users and/or carers in pursuit of meeting need and service development</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High level of ability to ensure necessary resources are available and allocated accordingly to ensure equitable service delivery</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Demonstrable ability to lead by example, inspiring confidence and trust, tackling performance issues if they arise and creating an atmosphere of ‘can do’ and positive thinking</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set and prioritise realistic goals, standards and objectives ensuring a professional service is delivered whilst striving to ensure the development and sustained improvement of the service</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Interview/Assessment Centre</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8.</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work in and lead a range of different teams at a senior level, including integrated services and partnerships, to achieve desired outcomes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Form/Interview/Assessment Centre</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9.</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use a variety of management tools and techniques to analyse, evaluate and address problems. Transfers learning and evidence-based practice to improve outcomes. Encourages and promotes networking by establishing positive working relationships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Interview/Assessment Centre</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10.</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Demonstrable ability to manage staffing and demand led budgets, including the generation and allocation of financial resources, and evaluating proposals for expenditure</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11.</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plan, prepare and manage projects, using appropriate project management principles. Leading, developing and monitoring activities, resources and plans, maintaining communication with project stakeholders, and providing solutions to project problems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Interview/Assessment Centre</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12.</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Significant experience in thinking strategically, analysing complex issues and using information to inform decision making and the ability to advise and inform others in taking critical decisions, this at both the individual case and at service level</w:t>
            </w:r>
          </w:p>
          <w:p>
            <w:pPr>
              <w:pStyle w:val="Normal"/>
              <w:spacing w:lineRule="auto" w:line="240" w:before="120" w:after="120"/>
              <w:ind w:left="0" w:right="175" w:hanging="0"/>
              <w:rPr>
                <w:rFonts w:ascii="Arial" w:hAnsi="Arial" w:cs="Arial"/>
              </w:rPr>
            </w:pPr>
            <w:r>
              <w:rPr>
                <w:rFonts w:cs="Arial" w:ascii="Arial" w:hAnsi="Arial"/>
              </w:rPr>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Application/Interview/Assessment Centre</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13.</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identify information and communication requirements, select, implement and monitor information management and communication systems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14.</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bCs/>
              </w:rPr>
            </w:pPr>
            <w:r>
              <w:rPr>
                <w:rFonts w:cs="Arial" w:ascii="Arial" w:hAnsi="Arial"/>
                <w:bCs/>
              </w:rPr>
              <w:t>Proven ability to manage change successfully</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15.</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work within a performance management framework, understanding the relationship between performance and practice and seeking to achieve continuous improvement across service area</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Interview/Assessment Centre</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16.</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The ability to manage, organise, support, and maintain the use of information technology systems and software</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17.</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 xml:space="preserve">To be responsible for the delivery of high-quality services by developing and implementing quality assurance systems, interpreting management information systems to have an oversight of performance of teams and progress towards target, objectives of the service. </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Interview/Assessment Centre</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18.</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Deliver results, through collaboration, partnerships, and work with groups in accordance with the Integrated Care Partnership’s aims and objectives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Interview/Assessment Centre</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19.</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use knowledge and understanding of the political context, processes and sensitivities to influence own approach to deliver outcomes, in particular developing a relationship with elected members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20.</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Able to build relationships with others both within and outside the organisation in order to develop services for and with customers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shd w:fill="auto" w:val="clear"/>
          </w:tcPr>
          <w:p>
            <w:pPr>
              <w:pStyle w:val="Normal"/>
              <w:spacing w:lineRule="auto" w:line="240" w:before="120" w:after="120"/>
              <w:rPr>
                <w:rFonts w:ascii="Arial" w:hAnsi="Arial" w:cs="Arial"/>
              </w:rPr>
            </w:pPr>
            <w:r>
              <w:rPr>
                <w:rFonts w:cs="Arial" w:ascii="Arial" w:hAnsi="Arial"/>
              </w:rPr>
              <w:t>21.</w:t>
            </w:r>
          </w:p>
        </w:tc>
        <w:tc>
          <w:tcPr>
            <w:tcW w:w="5559" w:type="dxa"/>
            <w:gridSpan w:val="6"/>
            <w:tcBorders/>
            <w:shd w:fill="auto" w:val="clear"/>
          </w:tcPr>
          <w:p>
            <w:pPr>
              <w:pStyle w:val="Normal"/>
              <w:spacing w:lineRule="auto" w:line="240" w:before="120" w:after="120"/>
              <w:ind w:left="0" w:right="175" w:hanging="0"/>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bCs/>
              </w:rPr>
            </w:pPr>
            <w:r>
              <w:rPr>
                <w:rFonts w:cs="Arial" w:ascii="Arial" w:hAnsi="Arial"/>
                <w:bCs/>
              </w:rPr>
              <w:t>Significant and demonstratable management experience in local government a health or social care setting</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bCs/>
              </w:rPr>
            </w:pPr>
            <w:r>
              <w:rPr>
                <w:rFonts w:cs="Arial" w:ascii="Arial" w:hAnsi="Arial"/>
                <w:bCs/>
              </w:rPr>
              <w:t>Relevant social work or equivalent professional qualification</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bCs/>
              </w:rPr>
            </w:pPr>
            <w:r>
              <w:rPr>
                <w:rFonts w:cs="Arial" w:ascii="Arial" w:hAnsi="Arial"/>
                <w:bCs/>
              </w:rPr>
              <w:t>Experience of performance indicator targets and requirements</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 relevant managerial qualification or commitment to gaining a managerial qualification within 2 years or evidence of systematic training in management</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Understanding of partner agencies’ functions and responsibilities</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Bolton Council is committed to providing robust Civil Contingencies planning and response arrangements. You will be required to join the Tactical Officer rota. This will involve working outside of routine working hours on a rota basis</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bookmarkStart w:id="0" w:name="_Hlk49870958"/>
            <w:bookmarkEnd w:id="0"/>
          </w:p>
        </w:tc>
      </w:tr>
      <w:tr>
        <w:trPr>
          <w:trHeight w:val="653" w:hRule="atLeast"/>
        </w:trPr>
        <w:tc>
          <w:tcPr>
            <w:tcW w:w="1730" w:type="dxa"/>
            <w:gridSpan w:val="4"/>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790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43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tc>
          <w:tcPr>
            <w:tcW w:w="5812" w:type="dxa"/>
            <w:gridSpan w:val="5"/>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Date Person Specification prepared/updated</w:t>
            </w:r>
          </w:p>
        </w:tc>
        <w:tc>
          <w:tcPr>
            <w:tcW w:w="3816" w:type="dxa"/>
            <w:gridSpan w:val="3"/>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December 2024</w:t>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Person Specification prepared by</w:t>
            </w:r>
          </w:p>
        </w:tc>
        <w:tc>
          <w:tcPr>
            <w:tcW w:w="3816" w:type="dxa"/>
            <w:gridSpan w:val="3"/>
            <w:tcBorders/>
            <w:shd w:fill="auto" w:val="clear"/>
          </w:tcPr>
          <w:p>
            <w:pPr>
              <w:pStyle w:val="Normal"/>
              <w:spacing w:lineRule="auto" w:line="240" w:before="0" w:after="0"/>
              <w:rPr/>
            </w:pPr>
            <w:r>
              <w:rPr>
                <w:rFonts w:cs="Arial" w:ascii="Arial" w:hAnsi="Arial"/>
                <w:b/>
              </w:rPr>
              <w:t xml:space="preserve">Karen Kenyon - </w:t>
            </w:r>
            <w:r>
              <w:rPr>
                <w:rFonts w:cs="Arial" w:ascii="Arial" w:hAnsi="Arial"/>
                <w:b/>
                <w:lang w:eastAsia="en-GB"/>
              </w:rPr>
              <w:t xml:space="preserve">Assistant Director Adult Social Care </w:t>
            </w:r>
            <w:r>
              <w:rPr>
                <w:rFonts w:cs="Arial" w:ascii="Arial" w:hAnsi="Arial"/>
                <w:b/>
              </w:rPr>
              <w:t>Operations &amp; Integration</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56" w:before="0" w:after="160"/>
        <w:rPr>
          <w:rFonts w:ascii="Arial" w:hAnsi="Arial" w:cs="Arial"/>
          <w:b/>
          <w:b/>
        </w:rPr>
      </w:pPr>
      <w:r>
        <w:rPr>
          <w:rFonts w:cs="Arial" w:ascii="Arial" w:hAnsi="Arial"/>
          <w:b/>
        </w:rPr>
      </w:r>
      <w:r>
        <w:br w:type="page"/>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spacing w:before="0" w:after="200"/>
        <w:rPr/>
      </w:pPr>
      <w:r>
        <w:rPr/>
      </w:r>
    </w:p>
    <w:sectPr>
      <w:headerReference w:type="default" r:id="rId8"/>
      <w:footerReference w:type="default" r:id="rId9"/>
      <w:type w:val="nextPage"/>
      <w:pgSz w:w="11906" w:h="16838"/>
      <w:pgMar w:left="1134" w:right="1134" w:header="709"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December 2024</w:t>
    </w:r>
  </w:p>
  <w:p>
    <w:pPr>
      <w:pStyle w:val="Header"/>
      <w:rPr/>
    </w:pPr>
    <w:r>
      <w:rPr/>
    </w:r>
  </w:p>
</w:hdr>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