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3730" cy="8369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7" t="-129" r="-57" b="-129"/>
                    <a:stretch>
                      <a:fillRect/>
                    </a:stretch>
                  </pic:blipFill>
                  <pic:spPr bwMode="auto">
                    <a:xfrm>
                      <a:off x="0" y="0"/>
                      <a:ext cx="1903730" cy="836930"/>
                    </a:xfrm>
                    <a:prstGeom prst="rect">
                      <a:avLst/>
                    </a:prstGeom>
                  </pic:spPr>
                </pic:pic>
              </a:graphicData>
            </a:graphic>
          </wp:anchor>
        </w:drawing>
      </w:r>
      <w:r>
        <w:rPr>
          <w:b/>
          <w:bCs/>
          <w:sz w:val="40"/>
          <w:szCs w:val="40"/>
        </w:rPr>
        <w:t>J</w:t>
      </w:r>
      <w:r>
        <w:rPr>
          <w:b/>
          <w:bCs/>
          <w:sz w:val="40"/>
          <w:szCs w:val="40"/>
        </w:rPr>
        <w:t xml:space="preserve">ob Description </w:t>
      </w:r>
    </w:p>
    <w:tbl>
      <w:tblPr>
        <w:tblW w:w="9646" w:type="dxa"/>
        <w:jc w:val="left"/>
        <w:tblInd w:w="-113" w:type="dxa"/>
        <w:tblCellMar>
          <w:top w:w="0" w:type="dxa"/>
          <w:left w:w="108" w:type="dxa"/>
          <w:bottom w:w="0" w:type="dxa"/>
          <w:right w:w="108" w:type="dxa"/>
        </w:tblCellMar>
      </w:tblPr>
      <w:tblGrid>
        <w:gridCol w:w="2637"/>
        <w:gridCol w:w="7009"/>
      </w:tblGrid>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CHIEF EXECUTIVE’S DEPARTMENT</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IN-HOUSE ADVOCATE – CHILDREN’S TEAM</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Providing expert legal advice, advocacy services against counsel, those with higher rights and lawyers as well as legal representation to client departments, to support the delivery of the Council’s statutory duties.</w:t>
            </w:r>
          </w:p>
          <w:p>
            <w:pPr>
              <w:pStyle w:val="Normal"/>
              <w:spacing w:lineRule="auto" w:line="240" w:before="0" w:after="0"/>
              <w:rPr>
                <w:rFonts w:ascii="Arial" w:hAnsi="Arial" w:cs="Arial"/>
              </w:rPr>
            </w:pPr>
            <w:r>
              <w:rPr>
                <w:rFonts w:cs="Arial" w:ascii="Arial" w:hAnsi="Arial"/>
              </w:rPr>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Legal Services</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6" w:type="dxa"/>
        <w:jc w:val="left"/>
        <w:tblInd w:w="-108" w:type="dxa"/>
        <w:tblCellMar>
          <w:top w:w="0" w:type="dxa"/>
          <w:left w:w="108" w:type="dxa"/>
          <w:bottom w:w="0" w:type="dxa"/>
          <w:right w:w="108" w:type="dxa"/>
        </w:tblCellMar>
      </w:tblPr>
      <w:tblGrid>
        <w:gridCol w:w="807"/>
        <w:gridCol w:w="3764"/>
        <w:gridCol w:w="5065"/>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quality legal representation and advocacy services within all courts, dependant on rights of audience. This representation will be on cases against counsel and on cases which the local authority would otherwise need to procure external support to cover.</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supply expert legal advice to officers and elected members, principally but not exclusively, within the field of child protection and public law children’s proceedings.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knowledge of the Constitution and strategic aims and be able to advise upon them.</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knowledge of local authority policies and procedures not only in the subject field but also within the client service alongside social work practice. Ability to understand medical terms and evidence to be able to make arguments as to causation of injuries and timing.</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and analyse information to evaluate evidence, applying judgmental skills to assess each case. To be able to take quick decisions on complex points and to have case law and statute awareness so that you are able to deal with points raised in cases when in court.</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draft legal documentation including statements of case, orders, appeal notices and skeleton arguments.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able to influence judges and others of the merits of a case and to be able to develop a rapport with others so that your opinion is respected by those who either make decisions or influence others on actions to take on a case.</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understand and be able to advise the authority on when to pursue an argument and when to settle a case taking in to account a child’s welfare, possible publicity or political issues alongside the financial implications involved in each decision.</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professional requirements of the post holder’s regulatory body including continuous personal development, and to ensure a current working knowledge of the relevant practice area.</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as part of a team to ensure an effective legal service is provided to the Council. </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develop and deliver staff and client training.</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Establishing and maintaining excellent working relationships with professionals, officers and elected members within the client department and wider Council.</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Establishing and maintaining excellent working relationships with professionals, officers and elected members within the client department and wider Council.</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pPr>
            <w:r>
              <w:rPr>
                <w:rFonts w:cs="Arial" w:ascii="Arial" w:hAnsi="Arial"/>
              </w:rPr>
              <w:t>To contribute to continuous improvement of the service, to develop in line with the strategic direction of the Council, ensuring a valuable and cost-effective service</w:t>
            </w:r>
            <w:r>
              <w:rPr>
                <w:rFonts w:eastAsia="Times New Roman" w:cs="Arial" w:ascii="Arial" w:hAnsi="Arial"/>
                <w:lang w:eastAsia="en-GB"/>
              </w:rPr>
              <w:t xml:space="preserve"> ensuring maximum value for money, including exploiting any opportunities to generate additional funding and income, preventing overspend, and generating cost efficiencies.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such other legal work, commensurate with grade, as necessary for the service.</w:t>
            </w:r>
          </w:p>
        </w:tc>
      </w:tr>
      <w:tr>
        <w:trPr>
          <w:trHeight w:val="1502"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Exercise financial management relating to this sphere of work. Informing and arguing decisions that impact budgets and aligning these with the Head of Legal Service e.g., defending applications for residential assessments, arguing costs, giving strategic advice and impact of legal options.</w:t>
            </w:r>
          </w:p>
        </w:tc>
      </w:tr>
      <w:tr>
        <w:trPr/>
        <w:tc>
          <w:tcPr>
            <w:tcW w:w="4571"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571"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48" w:type="dxa"/>
        <w:jc w:val="left"/>
        <w:tblInd w:w="-113" w:type="dxa"/>
        <w:tblCellMar>
          <w:top w:w="0" w:type="dxa"/>
          <w:left w:w="108" w:type="dxa"/>
          <w:bottom w:w="0" w:type="dxa"/>
          <w:right w:w="108" w:type="dxa"/>
        </w:tblCellMar>
      </w:tblPr>
      <w:tblGrid>
        <w:gridCol w:w="645"/>
        <w:gridCol w:w="31"/>
        <w:gridCol w:w="919"/>
        <w:gridCol w:w="3032"/>
        <w:gridCol w:w="275"/>
        <w:gridCol w:w="20"/>
        <w:gridCol w:w="4716"/>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3" w:type="dxa"/>
            <w:gridSpan w:val="4"/>
            <w:tcBorders/>
            <w:shd w:fill="auto" w:val="clear"/>
          </w:tcPr>
          <w:p>
            <w:pPr>
              <w:pStyle w:val="Normal"/>
              <w:spacing w:lineRule="auto" w:line="240" w:before="60" w:after="60"/>
              <w:rPr>
                <w:rFonts w:ascii="Arial" w:hAnsi="Arial" w:cs="Arial"/>
                <w:b/>
                <w:b/>
              </w:rPr>
            </w:pPr>
            <w:r>
              <w:rPr>
                <w:rFonts w:cs="Arial" w:ascii="Arial" w:hAnsi="Arial"/>
                <w:b/>
              </w:rPr>
              <w:t>CHIEF EXECUTIVE’S DEPARTMENT</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3" w:type="dxa"/>
            <w:gridSpan w:val="4"/>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IN-HOUSE ADVOCATE – CHILDREN’S TEAM</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4922"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4726"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5"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3"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277"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local government law with a particular emphasis on children’s safeguarding to include private and public Children Act proceedings, adoption law, female genital mutilation, forced marriages, education law and immigration.</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Knowledge of Data protection and governance law. </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statutes, regulations, guidance, advices, case law, policies and procedures in the relevant areas.</w:t>
            </w:r>
          </w:p>
          <w:p>
            <w:pPr>
              <w:pStyle w:val="Normal"/>
              <w:spacing w:lineRule="auto" w:line="240" w:before="120" w:after="120"/>
              <w:ind w:left="0" w:right="175" w:hanging="0"/>
              <w:rPr>
                <w:rFonts w:ascii="Arial" w:hAnsi="Arial" w:eastAsia="Times New Roman" w:cs="Arial"/>
              </w:rPr>
            </w:pPr>
            <w:r>
              <w:rPr>
                <w:rFonts w:eastAsia="Times New Roman" w:cs="Arial" w:ascii="Arial" w:hAnsi="Arial"/>
              </w:rPr>
              <w:t>Knowledge of social work assessment frameworks and government publications such as Working together.</w:t>
            </w:r>
          </w:p>
          <w:p>
            <w:pPr>
              <w:pStyle w:val="Normal"/>
              <w:spacing w:lineRule="auto" w:line="240" w:before="120" w:after="120"/>
              <w:ind w:left="0" w:right="175" w:hanging="0"/>
              <w:rPr>
                <w:rFonts w:ascii="Arial" w:hAnsi="Arial" w:eastAsia="Times New Roman" w:cs="Arial"/>
              </w:rPr>
            </w:pPr>
            <w:r>
              <w:rPr>
                <w:rFonts w:eastAsia="Times New Roman" w:cs="Arial" w:ascii="Arial" w:hAnsi="Arial"/>
              </w:rPr>
              <w:t xml:space="preserve">Knowledge of judicial behaviours and approaches judges are likely to take on cases. </w:t>
            </w:r>
          </w:p>
        </w:tc>
        <w:tc>
          <w:tcPr>
            <w:tcW w:w="471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Form/Interview/Test/Presentation/Assessment Centre</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277"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communication skills, to communicate efficiently and effectively with elected members, colleagues, staff, officers in other agencies and customers, other professionals and members of the judiciary, both verbally and in writing, to provide an effective and quality service.</w:t>
            </w:r>
          </w:p>
        </w:tc>
        <w:tc>
          <w:tcPr>
            <w:tcW w:w="471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4277"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negotiate and influence on complex, high risk matters of Council wide impact and to save the council money on cases they would otherwise need external council support or advice for.</w:t>
            </w:r>
          </w:p>
        </w:tc>
        <w:tc>
          <w:tcPr>
            <w:tcW w:w="471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Enhanced advocacy and public speaking skills. Ability to persuade and gain the respect of other legal professionals and experts. Ability to think on your feet and answer complex questions on points of law when on your feet in court.</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rapport, trust and confidence.</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organisation and time management skills to plan and deliver a complex, high priority workload to strict legal deadlines.</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enhanced problem-solving skills to deliver practical and creative solutions to complex issues.</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analytical skills to assess a wide range of information, evidence and data to draw logical conclusions and make skilled judgements.</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Demonstrating a high level of political awareness and ability to operate effectively in a sensitive political environment.</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research information and present evidence-based conclusions from wide ranging sources.</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utilise IT systems including Microsoft Office applications and relevant case management system. </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practical legal advice. Ability to identify and bring to the attention of the Head of Legal Services, matters of probity or significance which may have a detrimental effect on the council.</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 Test and / or Presentation</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4277"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in a team and support other colleagues.</w:t>
            </w:r>
          </w:p>
        </w:tc>
        <w:tc>
          <w:tcPr>
            <w:tcW w:w="471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4277"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p>
            <w:pPr>
              <w:pStyle w:val="Normal"/>
              <w:spacing w:lineRule="auto" w:line="240" w:before="120" w:after="120"/>
              <w:ind w:left="0" w:right="175" w:hanging="0"/>
              <w:rPr>
                <w:rFonts w:ascii="Arial" w:hAnsi="Arial" w:cs="Arial"/>
              </w:rPr>
            </w:pPr>
            <w:r>
              <w:rPr>
                <w:rFonts w:cs="Arial" w:ascii="Arial" w:hAnsi="Arial"/>
              </w:rPr>
            </w:r>
          </w:p>
        </w:tc>
        <w:tc>
          <w:tcPr>
            <w:tcW w:w="4716"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4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Solicitor or Barrister or CILEX with litigation and advocacy rights </w:t>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 /Interview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Significant practical experience of advocacy in the County Court, High Court and Family Proceedings Court, including contested hearings.  </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p>
            <w:pPr>
              <w:pStyle w:val="Normal"/>
              <w:spacing w:lineRule="auto" w:line="240" w:before="120" w:after="120"/>
              <w:rPr>
                <w:rFonts w:ascii="Arial" w:hAnsi="Arial" w:cs="Arial"/>
              </w:rPr>
            </w:pPr>
            <w:r>
              <w:rPr>
                <w:rFonts w:cs="Arial" w:ascii="Arial" w:hAnsi="Arial"/>
              </w:rPr>
              <w:t>Interview</w:t>
            </w:r>
          </w:p>
        </w:tc>
      </w:tr>
      <w:tr>
        <w:trPr>
          <w:cantSplit w:val="true"/>
        </w:trPr>
        <w:tc>
          <w:tcPr>
            <w:tcW w:w="964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4226"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473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Interview/Certificate</w:t>
            </w:r>
          </w:p>
        </w:tc>
      </w:tr>
      <w:tr>
        <w:trPr/>
        <w:tc>
          <w:tcPr>
            <w:tcW w:w="4627"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w:t>
            </w:r>
          </w:p>
        </w:tc>
        <w:tc>
          <w:tcPr>
            <w:tcW w:w="5011"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2022</w:t>
            </w:r>
          </w:p>
        </w:tc>
      </w:tr>
      <w:tr>
        <w:trPr/>
        <w:tc>
          <w:tcPr>
            <w:tcW w:w="4627"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5011" w:type="dxa"/>
            <w:gridSpan w:val="3"/>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725" cy="130619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 t="-43" r="-13" b="-43"/>
                    <a:stretch>
                      <a:fillRect/>
                    </a:stretch>
                  </pic:blipFill>
                  <pic:spPr bwMode="auto">
                    <a:xfrm>
                      <a:off x="0" y="0"/>
                      <a:ext cx="4911725" cy="1306195"/>
                    </a:xfrm>
                    <a:prstGeom prst="rect">
                      <a:avLst/>
                    </a:prstGeom>
                  </pic:spPr>
                </pic:pic>
              </a:graphicData>
            </a:graphic>
          </wp:inline>
        </w:drawing>
      </w:r>
    </w:p>
    <w:p>
      <w:pPr>
        <w:pStyle w:val="Normal"/>
        <w:rPr/>
      </w:pPr>
      <w:r>
        <w:rPr/>
        <w:drawing>
          <wp:inline distT="0" distB="0" distL="0" distR="0">
            <wp:extent cx="4864100" cy="134048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 t="-40" r="-13" b="-40"/>
                    <a:stretch>
                      <a:fillRect/>
                    </a:stretch>
                  </pic:blipFill>
                  <pic:spPr bwMode="auto">
                    <a:xfrm>
                      <a:off x="0" y="0"/>
                      <a:ext cx="4864100" cy="1340485"/>
                    </a:xfrm>
                    <a:prstGeom prst="rect">
                      <a:avLst/>
                    </a:prstGeom>
                  </pic:spPr>
                </pic:pic>
              </a:graphicData>
            </a:graphic>
          </wp:inline>
        </w:drawing>
      </w:r>
      <w:r>
        <w:rPr/>
        <w:drawing>
          <wp:inline distT="0" distB="0" distL="0" distR="0">
            <wp:extent cx="4821555" cy="119253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 t="-46" r="-13" b="-46"/>
                    <a:stretch>
                      <a:fillRect/>
                    </a:stretch>
                  </pic:blipFill>
                  <pic:spPr bwMode="auto">
                    <a:xfrm>
                      <a:off x="0" y="0"/>
                      <a:ext cx="4821555" cy="1192530"/>
                    </a:xfrm>
                    <a:prstGeom prst="rect">
                      <a:avLst/>
                    </a:prstGeom>
                  </pic:spPr>
                </pic:pic>
              </a:graphicData>
            </a:graphic>
          </wp:inline>
        </w:drawing>
      </w:r>
      <w:r>
        <w:rPr/>
        <w:drawing>
          <wp:inline distT="0" distB="0" distL="0" distR="0">
            <wp:extent cx="4976495" cy="122047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 t="-45" r="-13" b="-45"/>
                    <a:stretch>
                      <a:fillRect/>
                    </a:stretch>
                  </pic:blipFill>
                  <pic:spPr bwMode="auto">
                    <a:xfrm>
                      <a:off x="0" y="0"/>
                      <a:ext cx="4976495" cy="1220470"/>
                    </a:xfrm>
                    <a:prstGeom prst="rect">
                      <a:avLst/>
                    </a:prstGeom>
                  </pic:spPr>
                </pic:pic>
              </a:graphicData>
            </a:graphic>
          </wp:inline>
        </w:drawing>
      </w:r>
    </w:p>
    <w:p>
      <w:pPr>
        <w:pStyle w:val="Normal"/>
        <w:rPr/>
      </w:pPr>
      <w:r>
        <w:rPr/>
        <w:drawing>
          <wp:inline distT="0" distB="0" distL="0" distR="0">
            <wp:extent cx="5013325" cy="123126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8" t="-57" r="-18" b="-57"/>
                    <a:stretch>
                      <a:fillRect/>
                    </a:stretch>
                  </pic:blipFill>
                  <pic:spPr bwMode="auto">
                    <a:xfrm>
                      <a:off x="0" y="0"/>
                      <a:ext cx="5013325" cy="1231265"/>
                    </a:xfrm>
                    <a:prstGeom prst="rect">
                      <a:avLst/>
                    </a:prstGeom>
                  </pic:spPr>
                </pic:pic>
              </a:graphicData>
            </a:graphic>
          </wp:inline>
        </w:drawing>
      </w:r>
    </w:p>
    <w:p>
      <w:pPr>
        <w:pStyle w:val="Normal"/>
        <w:widowControl/>
        <w:suppressAutoHyphens w:val="true"/>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Lucida San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2023-06-07T14:46:00Z</dcterms:created>
  <dc:creator>Johnson, Andrew</dc:creator>
  <dc:description/>
  <dc:language>en-US</dc:language>
  <cp:lastModifiedBy>Crompton, Rebecca</cp:lastModifiedBy>
  <cp:lastPrinted>1995-11-21T17:41:00Z</cp:lastPrinted>
  <dcterms:modified xsi:type="dcterms:W3CDTF">2026-06-01T13:16:00Z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mpany">
    <vt:lpwstr>Bolton Council</vt:lpwstr>
  </property>
  <property fmtid="{D5CDD505-2E9C-101B-9397-08002B2CF9AE}" pid="5" name="ContentTypeId">
    <vt:lpwstr>0x01010078CD04E9D5FED643B61D9FF9B259049C</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Order">
    <vt:i4>14600</vt:i4>
  </property>
  <property fmtid="{D5CDD505-2E9C-101B-9397-08002B2CF9AE}" pid="11" name="ScaleCrop">
    <vt:bool>0</vt:bool>
  </property>
  <property fmtid="{D5CDD505-2E9C-101B-9397-08002B2CF9AE}" pid="12" name="ShareDoc">
    <vt:bool>0</vt:bool>
  </property>
  <property fmtid="{D5CDD505-2E9C-101B-9397-08002B2CF9AE}" pid="13" name="Topic">
    <vt:lpwstr>6;#Workplace|0eca40e7-1b69-41ab-b4d3-fcac60499f36</vt:lpwstr>
  </property>
  <property fmtid="{D5CDD505-2E9C-101B-9397-08002B2CF9AE}" pid="14" name="xd_Signature">
    <vt:bool>0</vt:bool>
  </property>
</Properties>
</file>