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jc w:val="center"/>
        <w:textAlignment w:val="baseline"/>
        <w:rPr>
          <w:rFonts w:ascii="Calibri" w:hAnsi="Calibri" w:cs="Calibri"/>
          <w:b/>
          <w:b/>
          <w:sz w:val="32"/>
          <w:szCs w:val="32"/>
        </w:rPr>
      </w:pPr>
      <w:r>
        <w:rPr/>
        <w:drawing>
          <wp:inline distT="0" distB="0" distL="0" distR="0">
            <wp:extent cx="1104900" cy="11525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31" r="-33" b="-31"/>
                    <a:stretch>
                      <a:fillRect/>
                    </a:stretch>
                  </pic:blipFill>
                  <pic:spPr bwMode="auto">
                    <a:xfrm>
                      <a:off x="0" y="0"/>
                      <a:ext cx="1104900" cy="1152525"/>
                    </a:xfrm>
                    <a:prstGeom prst="rect">
                      <a:avLst/>
                    </a:prstGeom>
                  </pic:spPr>
                </pic:pic>
              </a:graphicData>
            </a:graphic>
          </wp:inline>
        </w:drawing>
      </w:r>
    </w:p>
    <w:p>
      <w:pPr>
        <w:pStyle w:val="Normal"/>
        <w:overflowPunct w:val="true"/>
        <w:jc w:val="center"/>
        <w:textAlignment w:val="baseline"/>
        <w:rPr>
          <w:rFonts w:ascii="Calibri" w:hAnsi="Calibri" w:cs="Calibri"/>
          <w:b/>
          <w:b/>
          <w:sz w:val="32"/>
          <w:szCs w:val="32"/>
        </w:rPr>
      </w:pPr>
      <w:r>
        <w:rPr>
          <w:rFonts w:cs="Calibri" w:ascii="Calibri" w:hAnsi="Calibri"/>
          <w:b/>
          <w:sz w:val="32"/>
          <w:szCs w:val="32"/>
        </w:rPr>
      </w:r>
    </w:p>
    <w:p>
      <w:pPr>
        <w:pStyle w:val="Normal"/>
        <w:overflowPunct w:val="true"/>
        <w:jc w:val="center"/>
        <w:textAlignment w:val="baseline"/>
        <w:rPr>
          <w:rFonts w:ascii="Calibri" w:hAnsi="Calibri" w:cs="Calibri"/>
          <w:b/>
          <w:b/>
          <w:sz w:val="32"/>
          <w:szCs w:val="32"/>
        </w:rPr>
      </w:pPr>
      <w:r>
        <w:rPr>
          <w:rFonts w:cs="Calibri" w:ascii="Calibri" w:hAnsi="Calibri"/>
          <w:b/>
          <w:sz w:val="32"/>
          <w:szCs w:val="32"/>
        </w:rPr>
        <w:t>BLACKSHAW PRIMARY SCHOOL</w:t>
      </w:r>
    </w:p>
    <w:p>
      <w:pPr>
        <w:pStyle w:val="Normal"/>
        <w:overflowPunct w:val="true"/>
        <w:jc w:val="center"/>
        <w:textAlignment w:val="baseline"/>
        <w:rPr>
          <w:rFonts w:ascii="Calibri" w:hAnsi="Calibri" w:cs="Calibri"/>
          <w:b/>
          <w:b/>
          <w:sz w:val="32"/>
          <w:szCs w:val="32"/>
        </w:rPr>
      </w:pPr>
      <w:r>
        <w:rPr>
          <w:rFonts w:cs="Calibri" w:ascii="Calibri" w:hAnsi="Calibri"/>
          <w:b/>
          <w:sz w:val="32"/>
          <w:szCs w:val="32"/>
        </w:rPr>
        <w:t>TEACHER PERSON SPECIFICATION</w:t>
      </w:r>
    </w:p>
    <w:p>
      <w:pPr>
        <w:pStyle w:val="Normal"/>
        <w:overflowPunct w:val="true"/>
        <w:jc w:val="both"/>
        <w:textAlignment w:val="baseline"/>
        <w:rPr>
          <w:szCs w:val="20"/>
        </w:rPr>
      </w:pPr>
      <w:r>
        <w:rPr>
          <w:szCs w:val="20"/>
        </w:rPr>
      </w:r>
    </w:p>
    <w:tbl>
      <w:tblPr>
        <w:tblW w:w="5000" w:type="pct"/>
        <w:jc w:val="left"/>
        <w:tblInd w:w="0" w:type="dxa"/>
        <w:tblCellMar>
          <w:top w:w="0" w:type="dxa"/>
          <w:left w:w="0" w:type="dxa"/>
          <w:bottom w:w="0" w:type="dxa"/>
          <w:right w:w="0" w:type="dxa"/>
        </w:tblCellMar>
      </w:tblPr>
      <w:tblGrid>
        <w:gridCol w:w="9602"/>
      </w:tblGrid>
      <w:tr>
        <w:trPr/>
        <w:tc>
          <w:tcPr>
            <w:tcW w:w="9602" w:type="dxa"/>
            <w:tcBorders/>
            <w:shd w:fill="auto" w:val="clear"/>
          </w:tcPr>
          <w:tbl>
            <w:tblPr>
              <w:tblW w:w="5000" w:type="pct"/>
              <w:jc w:val="left"/>
              <w:tblInd w:w="0" w:type="dxa"/>
              <w:tblCellMar>
                <w:top w:w="30" w:type="dxa"/>
                <w:left w:w="30" w:type="dxa"/>
                <w:bottom w:w="30" w:type="dxa"/>
                <w:right w:w="30" w:type="dxa"/>
              </w:tblCellMar>
            </w:tblPr>
            <w:tblGrid>
              <w:gridCol w:w="9602"/>
            </w:tblGrid>
            <w:tr>
              <w:trPr/>
              <w:tc>
                <w:tcPr>
                  <w:tcW w:w="9602" w:type="dxa"/>
                  <w:tcBorders/>
                  <w:shd w:fill="auto" w:val="clear"/>
                  <w:vAlign w:val="center"/>
                </w:tcPr>
                <w:p>
                  <w:pPr>
                    <w:pStyle w:val="Normal"/>
                    <w:overflowPunct w:val="true"/>
                    <w:jc w:val="both"/>
                    <w:textAlignment w:val="baseline"/>
                    <w:rPr/>
                  </w:pPr>
                  <w:r>
                    <w:rPr>
                      <w:rFonts w:cs="Calibri" w:ascii="Calibri" w:hAnsi="Calibri"/>
                      <w:i/>
                      <w:szCs w:val="20"/>
                    </w:rPr>
                    <w:t>Candidates with disabilities</w:t>
                  </w:r>
                  <w:bookmarkStart w:id="0" w:name="_GoBack"/>
                  <w:bookmarkEnd w:id="0"/>
                  <w:r>
                    <w:rPr>
                      <w:rFonts w:cs="Calibri" w:ascii="Calibri" w:hAnsi="Calibri"/>
                      <w:i/>
                      <w:szCs w:val="20"/>
                    </w:rPr>
                    <w:t xml:space="preserve"> are guaranteed an interview if they meet the essential criteri</w:t>
                  </w:r>
                  <w:r>
                    <w:rPr>
                      <w:rFonts w:cs="Calibri" w:ascii="Calibri" w:hAnsi="Calibri"/>
                      <w:szCs w:val="20"/>
                    </w:rPr>
                    <w:t>a</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MINIMUM ESSENTIAL REQUIREMENTS</w:t>
                  </w:r>
                </w:p>
                <w:p>
                  <w:pPr>
                    <w:pStyle w:val="Normal"/>
                    <w:overflowPunct w:val="true"/>
                    <w:jc w:val="both"/>
                    <w:textAlignment w:val="baseline"/>
                    <w:rPr>
                      <w:rFonts w:ascii="Calibri" w:hAnsi="Calibri" w:cs="Calibri"/>
                      <w:b/>
                      <w:b/>
                      <w:szCs w:val="20"/>
                    </w:rPr>
                  </w:pPr>
                  <w:r>
                    <w:rPr>
                      <w:rFonts w:cs="Calibri" w:ascii="Calibri" w:hAnsi="Calibri"/>
                      <w:b/>
                      <w:szCs w:val="20"/>
                    </w:rPr>
                  </w:r>
                </w:p>
                <w:p>
                  <w:pPr>
                    <w:pStyle w:val="Normal"/>
                    <w:overflowPunct w:val="true"/>
                    <w:jc w:val="both"/>
                    <w:textAlignment w:val="baseline"/>
                    <w:rPr>
                      <w:rFonts w:ascii="Calibri" w:hAnsi="Calibri" w:cs="Calibri"/>
                      <w:b/>
                      <w:b/>
                      <w:szCs w:val="20"/>
                    </w:rPr>
                  </w:pPr>
                  <w:r>
                    <w:rPr>
                      <w:rFonts w:cs="Calibri" w:ascii="Calibri" w:hAnsi="Calibri"/>
                      <w:b/>
                      <w:szCs w:val="20"/>
                    </w:rPr>
                    <w:t>Professional Values and Practice</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Effective communication skills to develop the partnership with pupils, parents/carers and colleagues;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Awareness of the school environment, including links with the local community;</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Awareness of the professional values and behaviour expected of teachers;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Commitment to professional development using targets agreed during induction the appraisal cycle and / or induction period.</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Knowledge and Understanding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Secure knowledge of the National Curriculum;</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Experience of using ICT effectively both in curriculum planning and teaching;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Understanding of your responsibilities under the SEND Code of Practice;</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and experience of developing a purposeful learning environment;</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Respect for pupils’ social, cultural, linguistic, religious and ethnic backgrounds with an understanding of how these may affect their learning.</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Planning, Expectations and Targets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and experience of applying a framework of curriculum planning which:</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Includes long and short term plans,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Requires learning objectives to be identified for classes, groups and individuals,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Enables monitoring, assessment and recording of pupils’ progress.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Understanding the role of other professionals in maximising pupils’ learning.</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Teaching and Class Management</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Organisational and time management skills to enable effective teaching of whole class, groups and individual pupils;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and experience of interactive teaching methods and collaborative group work, which enable pupils to take responsibility for their own learning;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Experience of enabling pupils with different learning needs and of varying abilities to maximise their learning through provision of differentiated activities;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Awareness of equality issues, including maximizing opportunities to explore and promote equality and raise awareness of diversity through teaching and learning;</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Using a range of strategies to promote good behaviour and to inappropriate behaviour within school policies.</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Subject Leadership</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Knowledge of subject leadership (subject area to be allocated in accordance with curriculum leadership structure and, where possible, taking into account the candidate’s subject strengths and specialism, if appropriate i.e. not applicable to ECTs)</w:t>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overflowPunct w:val="true"/>
                    <w:jc w:val="both"/>
                    <w:textAlignment w:val="baseline"/>
                    <w:rPr>
                      <w:rFonts w:ascii="Calibri" w:hAnsi="Calibri" w:cs="Calibri"/>
                      <w:b/>
                      <w:b/>
                      <w:szCs w:val="20"/>
                    </w:rPr>
                  </w:pPr>
                  <w:r>
                    <w:rPr>
                      <w:rFonts w:cs="Calibri" w:ascii="Calibri" w:hAnsi="Calibri"/>
                      <w:b/>
                      <w:szCs w:val="20"/>
                    </w:rPr>
                    <w:t>Qualifications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To have completed DFE recognised initial teacher training course leading to Qualified Teacher Status;</w:t>
                  </w:r>
                </w:p>
                <w:p>
                  <w:pPr>
                    <w:pStyle w:val="Normal"/>
                    <w:numPr>
                      <w:ilvl w:val="0"/>
                      <w:numId w:val="2"/>
                    </w:numPr>
                    <w:overflowPunct w:val="true"/>
                    <w:jc w:val="both"/>
                    <w:textAlignment w:val="baseline"/>
                    <w:rPr>
                      <w:rFonts w:ascii="Calibri" w:hAnsi="Calibri" w:cs="Calibri"/>
                      <w:szCs w:val="20"/>
                    </w:rPr>
                  </w:pPr>
                  <w:r>
                    <w:rPr>
                      <w:rFonts w:cs="Calibri" w:ascii="Calibri" w:hAnsi="Calibri"/>
                      <w:szCs w:val="20"/>
                    </w:rPr>
                    <w:t>To have trained, or being trained for the appropriate age group.</w:t>
                  </w:r>
                </w:p>
                <w:p>
                  <w:pPr>
                    <w:pStyle w:val="Normal"/>
                    <w:overflowPunct w:val="true"/>
                    <w:jc w:val="both"/>
                    <w:textAlignment w:val="baseline"/>
                    <w:rPr>
                      <w:rFonts w:ascii="Tahoma" w:hAnsi="Tahoma" w:cs="Tahoma"/>
                      <w:sz w:val="22"/>
                      <w:szCs w:val="22"/>
                    </w:rPr>
                  </w:pPr>
                  <w:r>
                    <w:rPr>
                      <w:rFonts w:cs="Tahoma" w:ascii="Tahoma" w:hAnsi="Tahoma"/>
                      <w:sz w:val="22"/>
                      <w:szCs w:val="22"/>
                    </w:rPr>
                  </w:r>
                </w:p>
                <w:p>
                  <w:pPr>
                    <w:pStyle w:val="Normal"/>
                    <w:overflowPunct w:val="true"/>
                    <w:jc w:val="both"/>
                    <w:textAlignment w:val="baseline"/>
                    <w:rPr>
                      <w:rFonts w:ascii="Verdana" w:hAnsi="Verdana" w:cs="Verdana"/>
                      <w:sz w:val="15"/>
                      <w:szCs w:val="15"/>
                    </w:rPr>
                  </w:pPr>
                  <w:r>
                    <w:rPr>
                      <w:rFonts w:cs="Verdana" w:ascii="Verdana" w:hAnsi="Verdana"/>
                      <w:sz w:val="15"/>
                      <w:szCs w:val="15"/>
                    </w:rPr>
                  </w:r>
                </w:p>
                <w:p>
                  <w:pPr>
                    <w:pStyle w:val="Normal"/>
                    <w:overflowPunct w:val="true"/>
                    <w:jc w:val="both"/>
                    <w:textAlignment w:val="baseline"/>
                    <w:rPr>
                      <w:rFonts w:ascii="Verdana" w:hAnsi="Verdana" w:cs="Verdana"/>
                      <w:sz w:val="15"/>
                      <w:szCs w:val="18"/>
                    </w:rPr>
                  </w:pPr>
                  <w:r>
                    <w:rPr>
                      <w:rFonts w:cs="Verdana" w:ascii="Verdana" w:hAnsi="Verdana"/>
                      <w:sz w:val="15"/>
                      <w:szCs w:val="18"/>
                    </w:rPr>
                  </w:r>
                </w:p>
              </w:tc>
            </w:tr>
            <w:tr>
              <w:trPr/>
              <w:tc>
                <w:tcPr>
                  <w:tcW w:w="9602" w:type="dxa"/>
                  <w:tcBorders/>
                  <w:shd w:fill="auto" w:val="clear"/>
                  <w:vAlign w:val="center"/>
                </w:tcPr>
                <w:p>
                  <w:pPr>
                    <w:pStyle w:val="Normal"/>
                    <w:overflowPunct w:val="true"/>
                    <w:snapToGrid w:val="false"/>
                    <w:jc w:val="both"/>
                    <w:textAlignment w:val="baseline"/>
                    <w:rPr>
                      <w:rFonts w:ascii="Verdana" w:hAnsi="Verdana" w:cs="Verdana"/>
                      <w:sz w:val="15"/>
                      <w:szCs w:val="18"/>
                    </w:rPr>
                  </w:pPr>
                  <w:r>
                    <w:rPr>
                      <w:rFonts w:cs="Verdana" w:ascii="Verdana" w:hAnsi="Verdana"/>
                      <w:sz w:val="15"/>
                      <w:szCs w:val="18"/>
                    </w:rPr>
                  </w:r>
                </w:p>
              </w:tc>
            </w:tr>
          </w:tbl>
          <w:p>
            <w:pPr>
              <w:pStyle w:val="Normal"/>
              <w:overflowPunct w:val="true"/>
              <w:jc w:val="both"/>
              <w:textAlignment w:val="baseline"/>
              <w:rPr>
                <w:rFonts w:ascii="Verdana" w:hAnsi="Verdana" w:cs="Verdana"/>
                <w:sz w:val="15"/>
                <w:szCs w:val="18"/>
              </w:rPr>
            </w:pPr>
            <w:r>
              <w:rPr>
                <w:rFonts w:cs="Verdana" w:ascii="Verdana" w:hAnsi="Verdana"/>
                <w:sz w:val="15"/>
                <w:szCs w:val="18"/>
              </w:rPr>
            </w:r>
          </w:p>
        </w:tc>
      </w:tr>
    </w:tbl>
    <w:p>
      <w:pPr>
        <w:pStyle w:val="Normal"/>
        <w:overflowPunct w:val="true"/>
        <w:jc w:val="both"/>
        <w:textAlignment w:val="baseline"/>
        <w:rPr>
          <w:sz w:val="21"/>
          <w:szCs w:val="21"/>
        </w:rPr>
      </w:pPr>
      <w:r>
        <w:rPr>
          <w:sz w:val="21"/>
          <w:szCs w:val="21"/>
        </w:rPr>
      </w:r>
    </w:p>
    <w:p>
      <w:pPr>
        <w:pStyle w:val="Normal"/>
        <w:overflowPunct w:val="true"/>
        <w:jc w:val="both"/>
        <w:textAlignment w:val="baseline"/>
        <w:rPr>
          <w:sz w:val="21"/>
          <w:szCs w:val="20"/>
        </w:rPr>
      </w:pPr>
      <w:r>
        <w:rPr>
          <w:sz w:val="21"/>
          <w:szCs w:val="20"/>
        </w:rPr>
      </w:r>
    </w:p>
    <w:p>
      <w:pPr>
        <w:pStyle w:val="Normal"/>
        <w:overflowPunct w:val="true"/>
        <w:jc w:val="both"/>
        <w:textAlignment w:val="baseline"/>
        <w:rPr>
          <w:rFonts w:ascii="Calibri" w:hAnsi="Calibri" w:cs="Calibri"/>
          <w:szCs w:val="20"/>
        </w:rPr>
      </w:pPr>
      <w:r>
        <w:rPr>
          <w:rFonts w:cs="Calibri" w:ascii="Calibri" w:hAnsi="Calibri"/>
          <w:szCs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footerReference w:type="default" r:id="rId3"/>
      <w:type w:val="nextPage"/>
      <w:pgSz w:w="11906" w:h="16838"/>
      <w:pgMar w:left="1152" w:right="1152" w:header="0" w:top="709" w:footer="567" w:bottom="1152" w:gutter="0"/>
      <w:pgBorders w:display="allPages" w:offsetFrom="text">
        <w:top w:val="single" w:sz="24" w:space="8" w:color="0000FF"/>
        <w:left w:val="single" w:sz="24" w:space="30" w:color="0000FF"/>
        <w:bottom w:val="single" w:sz="24" w:space="1" w:color="0000FF"/>
        <w:right w:val="single" w:sz="24" w:space="30" w:color="0000FF"/>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ligraph421 BT">
    <w:charset w:val="00"/>
    <w:family w:val="roman"/>
    <w:pitch w:val="variable"/>
  </w:font>
  <w:font w:name="Century Gothic">
    <w:charset w:val="00"/>
    <w:family w:val="roman"/>
    <w:pitch w:val="variable"/>
  </w:font>
  <w:font w:name="Wingdings">
    <w:charset w:val="02"/>
    <w:family w:val="auto"/>
    <w:pitch w:val="variable"/>
  </w:font>
  <w:font w:name="Courier New">
    <w:charset w:val="01"/>
    <w:family w:val="modern"/>
    <w:pitch w:val="default"/>
  </w:font>
  <w:font w:name="Courier New">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Style w:val="Pagenumber"/>
        <w:sz w:val="16"/>
        <w:szCs w:val="16"/>
      </w:rPr>
    </w:pPr>
    <w:r>
      <w:rPr/>
      <w:tab/>
    </w:r>
    <w:r>
      <w:rPr>
        <w:sz w:val="16"/>
        <w:szCs w:val="16"/>
      </w:rPr>
      <w:t xml:space="preserve">Page </w:t>
    </w:r>
    <w:r>
      <w:rPr>
        <w:rStyle w:val="Pagenumber"/>
        <w:sz w:val="16"/>
        <w:szCs w:val="16"/>
      </w:rPr>
      <w:fldChar w:fldCharType="begin"/>
    </w:r>
    <w:r>
      <w:rPr>
        <w:rStyle w:val="Pagenumber"/>
        <w:sz w:val="16"/>
        <w:szCs w:val="16"/>
      </w:rPr>
      <w:instrText> PAGE </w:instrText>
    </w:r>
    <w:r>
      <w:rPr>
        <w:rStyle w:val="Pagenumber"/>
        <w:sz w:val="16"/>
        <w:szCs w:val="16"/>
      </w:rPr>
      <w:fldChar w:fldCharType="separate"/>
    </w:r>
    <w:r>
      <w:rPr>
        <w:rStyle w:val="Pagenumber"/>
        <w:sz w:val="16"/>
        <w:szCs w:val="16"/>
      </w:rPr>
      <w:t>2</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NUMPAGES \* ARABIC </w:instrText>
    </w:r>
    <w:r>
      <w:rPr>
        <w:rStyle w:val="Pagenumber"/>
        <w:sz w:val="16"/>
        <w:szCs w:val="16"/>
      </w:rPr>
      <w:fldChar w:fldCharType="separate"/>
    </w:r>
    <w:r>
      <w:rPr>
        <w:rStyle w:val="Pagenumber"/>
        <w:sz w:val="16"/>
        <w:szCs w:val="16"/>
      </w:rPr>
      <w:t>2</w:t>
    </w:r>
    <w:r>
      <w:rPr>
        <w:rStyle w:val="Pagenumber"/>
        <w:sz w:val="16"/>
        <w:szCs w:val="16"/>
      </w:rPr>
      <w:fldChar w:fldCharType="end"/>
    </w:r>
    <w:r>
      <w:rPr>
        <w:rStyle w:val="Pagenumber"/>
        <w:sz w:val="16"/>
        <w:szCs w:val="16"/>
      </w:rPr>
      <w:tab/>
      <w:tab/>
    </w:r>
    <w:r>
      <w:rPr>
        <w:rStyle w:val="Pagenumber"/>
        <w:sz w:val="16"/>
        <w:szCs w:val="16"/>
      </w:rPr>
      <w:fldChar w:fldCharType="begin"/>
    </w:r>
    <w:r>
      <w:rPr>
        <w:rStyle w:val="Pagenumber"/>
        <w:sz w:val="16"/>
        <w:szCs w:val="16"/>
      </w:rPr>
      <w:instrText> DATE \@"dd\/MM\/yyyy" </w:instrText>
    </w:r>
    <w:r>
      <w:rPr>
        <w:rStyle w:val="Pagenumber"/>
        <w:sz w:val="16"/>
        <w:szCs w:val="16"/>
      </w:rPr>
      <w:fldChar w:fldCharType="separate"/>
    </w:r>
    <w:r>
      <w:rPr>
        <w:rStyle w:val="Pagenumber"/>
        <w:sz w:val="16"/>
        <w:szCs w:val="16"/>
      </w:rPr>
      <w:t>11/05/2026</w:t>
    </w:r>
    <w:r>
      <w:rPr>
        <w:rStyle w:val="Pagenumbe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rFonts w:ascii="Calligraph421 BT" w:hAnsi="Calligraph421 BT" w:cs="Calligraph421 BT"/>
      <w:b/>
      <w:bCs/>
      <w:i/>
      <w:iCs/>
      <w:color w:val="FFFFFF"/>
      <w:sz w:val="44"/>
      <w:szCs w:val="52"/>
    </w:rPr>
  </w:style>
  <w:style w:type="paragraph" w:styleId="Heading2">
    <w:name w:val="Heading 2"/>
    <w:basedOn w:val="Normal"/>
    <w:next w:val="Normal"/>
    <w:qFormat/>
    <w:pPr>
      <w:keepNext w:val="true"/>
      <w:numPr>
        <w:ilvl w:val="1"/>
        <w:numId w:val="1"/>
      </w:numPr>
      <w:jc w:val="both"/>
      <w:outlineLvl w:val="1"/>
    </w:pPr>
    <w:rPr>
      <w:rFonts w:ascii="Century Gothic" w:hAnsi="Century Gothic" w:cs="Century Gothic"/>
      <w:b/>
      <w:bCs/>
    </w:rPr>
  </w:style>
  <w:style w:type="paragraph" w:styleId="Heading3">
    <w:name w:val="Heading 3"/>
    <w:basedOn w:val="Normal"/>
    <w:next w:val="Normal"/>
    <w:qFormat/>
    <w:pPr>
      <w:keepNext w:val="true"/>
      <w:numPr>
        <w:ilvl w:val="2"/>
        <w:numId w:val="1"/>
      </w:numPr>
      <w:outlineLvl w:val="2"/>
    </w:pPr>
    <w:rPr>
      <w:rFonts w:ascii="Century Gothic" w:hAnsi="Century Gothic" w:eastAsia="Dotum" w:cs="Century Gothic"/>
      <w:b/>
      <w:bCs/>
      <w:color w:val="FFFF00"/>
      <w:sz w:val="36"/>
    </w:rPr>
  </w:style>
  <w:style w:type="paragraph" w:styleId="Heading4">
    <w:name w:val="Heading 4"/>
    <w:basedOn w:val="Normal"/>
    <w:next w:val="Normal"/>
    <w:qFormat/>
    <w:pPr>
      <w:keepNext w:val="true"/>
      <w:numPr>
        <w:ilvl w:val="3"/>
        <w:numId w:val="1"/>
      </w:numPr>
      <w:outlineLvl w:val="3"/>
    </w:pPr>
    <w:rPr>
      <w:rFonts w:ascii="Calligraph421 BT" w:hAnsi="Calligraph421 BT" w:cs="Calligraph421 BT"/>
      <w:i/>
      <w:iCs/>
    </w:rPr>
  </w:style>
  <w:style w:type="paragraph" w:styleId="Heading5">
    <w:name w:val="Heading 5"/>
    <w:basedOn w:val="Normal"/>
    <w:next w:val="Normal"/>
    <w:qFormat/>
    <w:pPr>
      <w:keepNext w:val="true"/>
      <w:numPr>
        <w:ilvl w:val="4"/>
        <w:numId w:val="1"/>
      </w:numPr>
      <w:outlineLvl w:val="4"/>
    </w:pPr>
    <w:rPr>
      <w:rFonts w:ascii="Calligraph421 BT" w:hAnsi="Calligraph421 BT" w:cs="Calligraph421 BT"/>
      <w:b/>
      <w:bCs/>
      <w:i/>
      <w:iCs/>
      <w:sz w:val="52"/>
      <w:szCs w:val="52"/>
    </w:rPr>
  </w:style>
  <w:style w:type="paragraph" w:styleId="Heading6">
    <w:name w:val="Heading 6"/>
    <w:basedOn w:val="Normal"/>
    <w:next w:val="Normal"/>
    <w:qFormat/>
    <w:pPr>
      <w:keepNext w:val="true"/>
      <w:numPr>
        <w:ilvl w:val="5"/>
        <w:numId w:val="1"/>
      </w:numPr>
      <w:outlineLvl w:val="5"/>
    </w:pPr>
    <w:rPr>
      <w:rFonts w:ascii="Calligraph421 BT" w:hAnsi="Calligraph421 BT" w:cs="Calligraph421 BT"/>
      <w:b/>
      <w:bCs/>
      <w:i/>
      <w:iCs/>
      <w:sz w:val="28"/>
    </w:rPr>
  </w:style>
  <w:style w:type="paragraph" w:styleId="Heading7">
    <w:name w:val="Heading 7"/>
    <w:basedOn w:val="Normal"/>
    <w:next w:val="Normal"/>
    <w:qFormat/>
    <w:pPr>
      <w:keepNext w:val="true"/>
      <w:numPr>
        <w:ilvl w:val="6"/>
        <w:numId w:val="1"/>
      </w:numPr>
      <w:outlineLvl w:val="6"/>
    </w:pPr>
    <w:rPr>
      <w:rFonts w:ascii="Calligraph421 BT" w:hAnsi="Calligraph421 BT" w:cs="Calligraph421 BT"/>
      <w:b/>
      <w:bCs/>
      <w:i/>
      <w:iCs/>
      <w:sz w:val="36"/>
    </w:rPr>
  </w:style>
  <w:style w:type="paragraph" w:styleId="Heading8">
    <w:name w:val="Heading 8"/>
    <w:basedOn w:val="Normal"/>
    <w:next w:val="Normal"/>
    <w:qFormat/>
    <w:pPr>
      <w:keepNext w:val="true"/>
      <w:numPr>
        <w:ilvl w:val="7"/>
        <w:numId w:val="1"/>
      </w:numPr>
      <w:jc w:val="both"/>
      <w:outlineLvl w:val="7"/>
    </w:pPr>
    <w:rPr>
      <w:rFonts w:ascii="Calligraph421 BT" w:hAnsi="Calligraph421 BT" w:cs="Calligraph421 BT"/>
      <w:b/>
      <w:bCs/>
      <w:i/>
      <w:iCs/>
      <w:u w:val="single"/>
    </w:rPr>
  </w:style>
  <w:style w:type="paragraph" w:styleId="Heading9">
    <w:name w:val="Heading 9"/>
    <w:basedOn w:val="Normal"/>
    <w:next w:val="Normal"/>
    <w:qFormat/>
    <w:pPr>
      <w:keepNext w:val="true"/>
      <w:numPr>
        <w:ilvl w:val="8"/>
        <w:numId w:val="1"/>
      </w:numPr>
      <w:jc w:val="both"/>
      <w:outlineLvl w:val="8"/>
    </w:pPr>
    <w:rPr>
      <w:rFonts w:ascii="Calligraph421 BT" w:hAnsi="Calligraph421 BT" w:cs="Calligraph421 BT"/>
      <w:b/>
      <w:bCs/>
      <w:i/>
      <w:iCs/>
      <w:sz w:val="32"/>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character" w:styleId="FollowedHyperlink">
    <w:name w:val="FollowedHyperlink"/>
    <w:qFormat/>
    <w:rPr>
      <w:color w:val="800080"/>
      <w:u w:val="single"/>
    </w:rPr>
  </w:style>
  <w:style w:type="character" w:styleId="PlainTextChar">
    <w:name w:val="Plain Text Char"/>
    <w:qFormat/>
    <w:rPr>
      <w:rFonts w:ascii="Courier New" w:hAnsi="Courier New" w:cs="Courier New"/>
    </w:rPr>
  </w:style>
  <w:style w:type="character" w:styleId="HeaderChar">
    <w:name w:val="Header Char"/>
    <w:qFormat/>
    <w:rPr>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Century Gothic" w:hAnsi="Century Gothic" w:cs="Century Gothic"/>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both"/>
    </w:pPr>
    <w:rPr>
      <w:rFonts w:ascii="Century Gothic" w:hAnsi="Century Gothic" w:cs="Century Gothic"/>
      <w:b/>
      <w:bCs/>
      <w:i/>
      <w:iCs/>
      <w:color w:val="FF0000"/>
    </w:rPr>
  </w:style>
  <w:style w:type="paragraph" w:styleId="BodyText3">
    <w:name w:val="Body Text 3"/>
    <w:basedOn w:val="Normal"/>
    <w:qFormat/>
    <w:pPr>
      <w:jc w:val="both"/>
    </w:pPr>
    <w:rPr>
      <w:rFonts w:ascii="Century Gothic" w:hAnsi="Century Gothic" w:cs="Century Gothic"/>
      <w:sz w:val="22"/>
    </w:rPr>
  </w:style>
  <w:style w:type="paragraph" w:styleId="Caption1">
    <w:name w:val="caption"/>
    <w:basedOn w:val="Normal"/>
    <w:next w:val="Normal"/>
    <w:qFormat/>
    <w:pPr/>
    <w:rPr>
      <w:rFonts w:ascii="Calligraph421 BT" w:hAnsi="Calligraph421 BT" w:cs="Calligraph421 BT"/>
      <w:b/>
      <w:bCs/>
      <w:i/>
      <w:iCs/>
      <w:sz w:val="32"/>
      <w:u w:val="single"/>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PlainText">
    <w:name w:val="Plain Text"/>
    <w:basedOn w:val="Normal"/>
    <w:qFormat/>
    <w:pPr/>
    <w:rPr>
      <w:rFonts w:ascii="Courier New" w:hAnsi="Courier New" w:cs="Courier New"/>
      <w:sz w:val="20"/>
      <w:szCs w:val="20"/>
      <w:lang w:eastAsia="en-GB"/>
    </w:rPr>
  </w:style>
  <w:style w:type="paragraph" w:styleId="TextBodyIndent">
    <w:name w:val="Body Text Indent"/>
    <w:basedOn w:val="Normal"/>
    <w:pPr>
      <w:spacing w:before="0" w:after="120"/>
      <w:ind w:left="283" w:right="0" w:hanging="0"/>
    </w:pPr>
    <w:rPr/>
  </w:style>
  <w:style w:type="paragraph" w:styleId="Title">
    <w:name w:val="Title"/>
    <w:basedOn w:val="Normal"/>
    <w:next w:val="TextBody"/>
    <w:qFormat/>
    <w:pPr>
      <w:jc w:val="center"/>
    </w:pPr>
    <w:rPr>
      <w:rFonts w:ascii="Arial" w:hAnsi="Arial" w:cs="Arial"/>
      <w:b/>
      <w:sz w:val="40"/>
      <w:szCs w:val="20"/>
      <w:lang w:eastAsia="en-GB"/>
    </w:rPr>
  </w:style>
  <w:style w:type="paragraph" w:styleId="Subtitle">
    <w:name w:val="Subtitle"/>
    <w:basedOn w:val="Normal"/>
    <w:next w:val="TextBody"/>
    <w:qFormat/>
    <w:pPr>
      <w:jc w:val="center"/>
    </w:pPr>
    <w:rPr>
      <w:rFonts w:ascii="Arial" w:hAnsi="Arial" w:cs="Arial"/>
      <w:b/>
      <w:sz w:val="28"/>
      <w:szCs w:val="20"/>
      <w:lang w:eastAsia="en-GB"/>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rPr>
      <w:rFonts w:eastAsia="Calibri"/>
      <w:lang w:eastAsia="en-GB"/>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2026-04-20T13:41:00Z</dcterms:created>
  <dc:creator>CHSwift</dc:creator>
  <dc:description/>
  <dc:language>en-US</dc:language>
  <cp:lastModifiedBy>Sam Newton</cp:lastModifiedBy>
  <cp:lastPrinted>1995-11-21T17:41:00Z</cp:lastPrinted>
  <dcterms:modified xsi:type="dcterms:W3CDTF">2026-05-08T09:29:00Z</dcterms:modified>
  <cp:revision>3</cp:revision>
  <dc:subject/>
  <dc:title>About the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