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120" w:after="200"/>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4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4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spacing w:before="120" w:after="200"/>
        <w:rPr>
          <w:rFonts w:eastAsia="Arial"/>
        </w:rPr>
      </w:pPr>
      <w:r>
        <w:rPr>
          <w:rFonts w:eastAsia="Arial"/>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START WELL early years CONSULTANT</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SOULBURY 5-8</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TextBody"/>
              <w:spacing w:lineRule="auto" w:line="240" w:before="0" w:after="0"/>
              <w:jc w:val="left"/>
              <w:rPr>
                <w:rFonts w:cs="Arial"/>
                <w:color w:val="000000"/>
              </w:rPr>
            </w:pPr>
            <w:r>
              <w:rPr>
                <w:rFonts w:cs="Arial"/>
                <w:color w:val="000000"/>
              </w:rPr>
              <w:t>To lead and support inclusive early years providers to raise attainment for all children and narrow the gap between the most disadvantaged and the rest and improve school readiness age 5 years.</w:t>
            </w:r>
          </w:p>
          <w:p>
            <w:pPr>
              <w:pStyle w:val="TextBody"/>
              <w:spacing w:lineRule="auto" w:line="240" w:before="0" w:after="0"/>
              <w:rPr/>
            </w:pPr>
            <w:r>
              <w:rPr>
                <w:rFonts w:cs="Arial"/>
                <w:bCs/>
                <w:color w:val="000000"/>
              </w:rPr>
              <w:t xml:space="preserve">To ensure Early Education providers and Schools follow the </w:t>
            </w:r>
            <w:r>
              <w:rPr>
                <w:rFonts w:cs="Arial"/>
                <w:color w:val="000000"/>
              </w:rPr>
              <w:t>EYFS statutory expectations and inspection frameworks, the SEND code of practice and Safeguarding.</w:t>
            </w:r>
          </w:p>
          <w:p>
            <w:pPr>
              <w:pStyle w:val="TextBody"/>
              <w:spacing w:lineRule="auto" w:line="240" w:before="0" w:after="0"/>
              <w:rPr>
                <w:rFonts w:cs="Arial"/>
                <w:color w:val="000000"/>
              </w:rPr>
            </w:pPr>
            <w:r>
              <w:rPr>
                <w:rFonts w:cs="Arial"/>
                <w:color w:val="000000"/>
              </w:rPr>
            </w:r>
          </w:p>
          <w:p>
            <w:pPr>
              <w:pStyle w:val="TextBody"/>
              <w:spacing w:lineRule="auto" w:line="240" w:before="0" w:after="0"/>
              <w:rPr>
                <w:rFonts w:cs="Arial"/>
                <w:color w:val="000000"/>
              </w:rPr>
            </w:pPr>
            <w:r>
              <w:rPr>
                <w:rFonts w:cs="Arial"/>
                <w:color w:val="000000"/>
              </w:rPr>
              <w:t>To provide pedagogical leadership regarding the Early Years</w:t>
            </w:r>
          </w:p>
          <w:p>
            <w:pPr>
              <w:pStyle w:val="TextBody"/>
              <w:spacing w:lineRule="auto" w:line="240" w:before="0" w:after="0"/>
              <w:rPr>
                <w:rFonts w:cs="Arial"/>
                <w:color w:val="000000"/>
              </w:rPr>
            </w:pPr>
            <w:r>
              <w:rPr>
                <w:rFonts w:cs="Arial"/>
                <w:color w:val="000000"/>
              </w:rPr>
              <w:t>Foundation Stage Priorities in the Best Start in Life plan; to further</w:t>
            </w:r>
          </w:p>
          <w:p>
            <w:pPr>
              <w:pStyle w:val="TextBody"/>
              <w:spacing w:lineRule="auto" w:line="240" w:before="0" w:after="0"/>
              <w:rPr>
                <w:rFonts w:cs="Arial"/>
                <w:color w:val="000000"/>
              </w:rPr>
            </w:pPr>
            <w:r>
              <w:rPr>
                <w:rFonts w:cs="Arial"/>
                <w:color w:val="000000"/>
              </w:rPr>
              <w:t>improve the quality and outcomes of early education and learning</w:t>
            </w:r>
          </w:p>
          <w:p>
            <w:pPr>
              <w:pStyle w:val="TextBody"/>
              <w:spacing w:lineRule="auto" w:line="240" w:before="0" w:after="0"/>
              <w:jc w:val="left"/>
              <w:rPr>
                <w:rFonts w:cs="Arial"/>
                <w:color w:val="000000"/>
              </w:rPr>
            </w:pPr>
            <w:r>
              <w:rPr>
                <w:rFonts w:cs="Arial"/>
                <w:color w:val="000000"/>
              </w:rPr>
              <w:t>activity across Best Start Family Hubs, Early Education and Childcare, Settings and Schools with a particular focus on improving young children’s speech, language and communication.</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pPr>
            <w:r>
              <w:rPr>
                <w:rFonts w:cs="Arial" w:ascii="Arial" w:hAnsi="Arial"/>
              </w:rPr>
              <w:t>To work with targeted providers</w:t>
            </w:r>
            <w:r>
              <w:rPr>
                <w:rFonts w:cs="Arial" w:ascii="Arial" w:hAnsi="Arial"/>
                <w:color w:val="000000"/>
              </w:rPr>
              <w:t xml:space="preserve"> to improve quality and outcomes for children by the end of the EYFS and narrow the gap in attainment for the most disadvantaged children. </w:t>
            </w:r>
            <w:r>
              <w:rPr>
                <w:rFonts w:cs="Arial" w:ascii="Arial" w:hAnsi="Arial"/>
              </w:rPr>
              <w:t>With Senior managers and partners increase the number of vulnerable children accessing inclusive, quality early years funded places for the most disadvantaged 2-, 3- and 4-year-olds.</w:t>
            </w:r>
          </w:p>
          <w:p>
            <w:pPr>
              <w:pStyle w:val="TextBody"/>
              <w:spacing w:lineRule="auto" w:line="240" w:before="0" w:after="0"/>
              <w:jc w:val="left"/>
              <w:rPr>
                <w:rFonts w:cs="Arial"/>
                <w:color w:val="000000"/>
              </w:rPr>
            </w:pPr>
            <w:r>
              <w:rPr>
                <w:rFonts w:cs="Arial"/>
                <w:color w:val="000000"/>
              </w:rPr>
            </w:r>
          </w:p>
          <w:p>
            <w:pPr>
              <w:pStyle w:val="Normal"/>
              <w:spacing w:lineRule="auto" w:line="240" w:before="0" w:after="0"/>
              <w:rPr>
                <w:rFonts w:ascii="Arial" w:hAnsi="Arial" w:cs="Arial"/>
                <w:color w:val="000000"/>
              </w:rPr>
            </w:pPr>
            <w:r>
              <w:rPr>
                <w:rFonts w:cs="Arial" w:ascii="Arial" w:hAnsi="Arial"/>
                <w:color w:val="000000"/>
              </w:rPr>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12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120" w:after="0"/>
              <w:rPr/>
            </w:pPr>
            <w:r>
              <w:rPr>
                <w:rFonts w:cs="Arial" w:ascii="Arial" w:hAnsi="Arial"/>
                <w:bCs/>
                <w:color w:val="000000"/>
              </w:rPr>
              <w:t>Start Well Senior Consultants</w:t>
            </w:r>
            <w:r>
              <w:rPr>
                <w:rFonts w:cs="Arial" w:ascii="Arial" w:hAnsi="Arial"/>
              </w:rPr>
              <w:t xml:space="preserve">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N/A </w:t>
            </w:r>
          </w:p>
        </w:tc>
      </w:tr>
    </w:tbl>
    <w:p>
      <w:pPr>
        <w:pStyle w:val="Normal"/>
        <w:spacing w:lineRule="auto" w:line="240" w:before="0" w:after="120"/>
        <w:rPr>
          <w:rFonts w:ascii="Arial" w:hAnsi="Arial" w:cs="Arial"/>
        </w:rPr>
      </w:pPr>
      <w:r>
        <w:rPr>
          <w:rFonts w:cs="Arial" w:ascii="Arial" w:hAnsi="Arial"/>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709"/>
        <w:gridCol w:w="3863"/>
        <w:gridCol w:w="5065"/>
      </w:tblGrid>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1</w:t>
            </w:r>
          </w:p>
        </w:tc>
        <w:tc>
          <w:tcPr>
            <w:tcW w:w="8928" w:type="dxa"/>
            <w:gridSpan w:val="2"/>
            <w:tcBorders/>
            <w:shd w:fill="auto" w:val="clear"/>
          </w:tcPr>
          <w:p>
            <w:pPr>
              <w:pStyle w:val="Normal"/>
              <w:spacing w:lineRule="auto" w:line="240" w:before="120" w:after="120"/>
              <w:rPr>
                <w:rFonts w:ascii="Arial" w:hAnsi="Arial" w:cs="Arial"/>
                <w:color w:val="000000"/>
              </w:rPr>
            </w:pPr>
            <w:r>
              <w:rPr>
                <w:rFonts w:cs="Arial" w:ascii="Arial" w:hAnsi="Arial"/>
                <w:color w:val="000000"/>
              </w:rPr>
              <w:t>To support providers that are judged by Ofsted to have specified judgements to address identified actions to improve EYFS provision and outcomes for children aged 0 – 5 years and for school age children attending registered out of school providers</w:t>
            </w:r>
          </w:p>
        </w:tc>
      </w:tr>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2</w:t>
            </w:r>
          </w:p>
        </w:tc>
        <w:tc>
          <w:tcPr>
            <w:tcW w:w="8928" w:type="dxa"/>
            <w:gridSpan w:val="2"/>
            <w:tcBorders/>
            <w:shd w:fill="auto" w:val="clear"/>
          </w:tcPr>
          <w:p>
            <w:pPr>
              <w:pStyle w:val="Normal"/>
              <w:spacing w:lineRule="auto" w:line="240" w:before="120" w:after="120"/>
              <w:rPr>
                <w:rFonts w:ascii="Arial" w:hAnsi="Arial" w:cs="Arial"/>
              </w:rPr>
            </w:pPr>
            <w:r>
              <w:rPr>
                <w:rFonts w:cs="Arial" w:ascii="Arial" w:hAnsi="Arial"/>
              </w:rPr>
              <w:t>To support multi-agency teams in Best Start family hubs and partner organisations to embed the principles of the EYFS, Early years Integrated Pathways working in close partnership with colleagues from the Integrated Communication and language team.</w:t>
            </w:r>
          </w:p>
        </w:tc>
      </w:tr>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3</w:t>
            </w:r>
          </w:p>
        </w:tc>
        <w:tc>
          <w:tcPr>
            <w:tcW w:w="8928" w:type="dxa"/>
            <w:gridSpan w:val="2"/>
            <w:tcBorders/>
            <w:shd w:fill="auto" w:val="clear"/>
          </w:tcPr>
          <w:p>
            <w:pPr>
              <w:pStyle w:val="ListParagraph"/>
              <w:spacing w:lineRule="auto" w:line="276" w:before="120" w:after="120"/>
              <w:ind w:left="0" w:right="0" w:hanging="0"/>
              <w:contextualSpacing/>
              <w:rPr/>
            </w:pPr>
            <w:r>
              <w:rPr>
                <w:rFonts w:cs="Arial"/>
                <w:color w:val="000000"/>
              </w:rPr>
              <w:t>To support all providers to have regard to the Code of Practice for Children with Special Educational Needs, and reforms, to deliver a graduated response, working</w:t>
            </w:r>
            <w:r>
              <w:rPr>
                <w:rFonts w:cs="Arial"/>
              </w:rPr>
              <w:t xml:space="preserve"> in close partnership with colleagues from the Start Well SEND and Inclusion Team.</w:t>
            </w:r>
          </w:p>
        </w:tc>
      </w:tr>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4</w:t>
            </w:r>
          </w:p>
        </w:tc>
        <w:tc>
          <w:tcPr>
            <w:tcW w:w="8928" w:type="dxa"/>
            <w:gridSpan w:val="2"/>
            <w:tcBorders/>
            <w:shd w:fill="auto" w:val="clear"/>
          </w:tcPr>
          <w:p>
            <w:pPr>
              <w:pStyle w:val="Normal"/>
              <w:spacing w:lineRule="auto" w:line="240" w:before="120" w:after="120"/>
              <w:rPr>
                <w:rFonts w:ascii="Arial" w:hAnsi="Arial" w:cs="Arial"/>
                <w:color w:val="000000"/>
              </w:rPr>
            </w:pPr>
            <w:r>
              <w:rPr>
                <w:rFonts w:cs="Arial" w:ascii="Arial" w:hAnsi="Arial"/>
                <w:color w:val="000000"/>
              </w:rPr>
              <w:t xml:space="preserve">To actively participate in both internal and external training and access a range of relevant courses both locally and nationally. </w:t>
            </w:r>
          </w:p>
        </w:tc>
      </w:tr>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5</w:t>
            </w:r>
          </w:p>
        </w:tc>
        <w:tc>
          <w:tcPr>
            <w:tcW w:w="8928" w:type="dxa"/>
            <w:gridSpan w:val="2"/>
            <w:tcBorders/>
            <w:shd w:fill="auto" w:val="clear"/>
          </w:tcPr>
          <w:p>
            <w:pPr>
              <w:pStyle w:val="Normal"/>
              <w:spacing w:lineRule="auto" w:line="240" w:before="120" w:after="120"/>
              <w:rPr>
                <w:rFonts w:ascii="Arial" w:hAnsi="Arial" w:cs="Arial"/>
                <w:color w:val="000000"/>
              </w:rPr>
            </w:pPr>
            <w:r>
              <w:rPr>
                <w:rFonts w:cs="Arial" w:ascii="Arial" w:hAnsi="Arial"/>
                <w:color w:val="000000"/>
              </w:rPr>
              <w:t xml:space="preserve">To lead and develop and provide deliver in house training and Continuing Professional Development activities for early years and childcare providers and partners where appropriate. </w:t>
            </w:r>
          </w:p>
        </w:tc>
      </w:tr>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6</w:t>
            </w:r>
          </w:p>
        </w:tc>
        <w:tc>
          <w:tcPr>
            <w:tcW w:w="8928" w:type="dxa"/>
            <w:gridSpan w:val="2"/>
            <w:tcBorders/>
            <w:shd w:fill="auto" w:val="clear"/>
          </w:tcPr>
          <w:p>
            <w:pPr>
              <w:pStyle w:val="Normal"/>
              <w:spacing w:lineRule="auto" w:line="240" w:before="120" w:after="120"/>
              <w:rPr/>
            </w:pPr>
            <w:r>
              <w:rPr>
                <w:rFonts w:cs="Arial" w:ascii="Arial" w:hAnsi="Arial"/>
                <w:color w:val="000000"/>
              </w:rPr>
              <w:t>To support providers to ensure the effective and positive transition for children through liaison with local Private, Voluntary and Independent (PVI) settings, children’s centres and</w:t>
            </w:r>
            <w:r>
              <w:rPr>
                <w:rFonts w:cs="Arial" w:ascii="Arial" w:hAnsi="Arial"/>
                <w:b/>
                <w:color w:val="000000"/>
              </w:rPr>
              <w:t xml:space="preserve"> </w:t>
            </w:r>
            <w:r>
              <w:rPr>
                <w:rFonts w:cs="Arial" w:ascii="Arial" w:hAnsi="Arial"/>
                <w:color w:val="000000"/>
              </w:rPr>
              <w:t>primary schools.</w:t>
            </w:r>
          </w:p>
        </w:tc>
      </w:tr>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7</w:t>
            </w:r>
          </w:p>
        </w:tc>
        <w:tc>
          <w:tcPr>
            <w:tcW w:w="8928" w:type="dxa"/>
            <w:gridSpan w:val="2"/>
            <w:tcBorders/>
            <w:shd w:fill="auto" w:val="clear"/>
          </w:tcPr>
          <w:p>
            <w:pPr>
              <w:pStyle w:val="Normal"/>
              <w:spacing w:lineRule="auto" w:line="240" w:before="120" w:after="120"/>
              <w:rPr>
                <w:rFonts w:ascii="Arial" w:hAnsi="Arial" w:cs="Arial"/>
                <w:color w:val="000000"/>
              </w:rPr>
            </w:pPr>
            <w:r>
              <w:rPr>
                <w:rFonts w:cs="Arial" w:ascii="Arial" w:hAnsi="Arial"/>
                <w:color w:val="000000"/>
              </w:rPr>
              <w:t>To actively promote inclusive integrated care and education for all children from birth to 5 years and in school age childcare.</w:t>
            </w:r>
          </w:p>
        </w:tc>
      </w:tr>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8</w:t>
            </w:r>
          </w:p>
        </w:tc>
        <w:tc>
          <w:tcPr>
            <w:tcW w:w="8928" w:type="dxa"/>
            <w:gridSpan w:val="2"/>
            <w:tcBorders/>
            <w:shd w:fill="auto" w:val="clear"/>
          </w:tcPr>
          <w:p>
            <w:pPr>
              <w:pStyle w:val="Normal"/>
              <w:spacing w:lineRule="auto" w:line="240" w:before="120" w:after="120"/>
              <w:rPr>
                <w:rFonts w:ascii="Arial" w:hAnsi="Arial" w:cs="Arial"/>
                <w:color w:val="000000"/>
              </w:rPr>
            </w:pPr>
            <w:r>
              <w:rPr>
                <w:rFonts w:cs="Arial" w:ascii="Arial" w:hAnsi="Arial"/>
                <w:color w:val="000000"/>
              </w:rPr>
              <w:t>To promote the Welfare Requirements, Principles and Commitments of the EYFS, Safeguarding, Learning and Development requirements and Best Start In Life evidence based interventions.</w:t>
            </w:r>
          </w:p>
        </w:tc>
      </w:tr>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9</w:t>
            </w:r>
          </w:p>
        </w:tc>
        <w:tc>
          <w:tcPr>
            <w:tcW w:w="8928" w:type="dxa"/>
            <w:gridSpan w:val="2"/>
            <w:tcBorders/>
            <w:shd w:fill="auto" w:val="clear"/>
          </w:tcPr>
          <w:p>
            <w:pPr>
              <w:pStyle w:val="Normal"/>
              <w:spacing w:lineRule="auto" w:line="240" w:before="120" w:after="120"/>
              <w:rPr>
                <w:rFonts w:ascii="Arial" w:hAnsi="Arial" w:cs="Arial"/>
                <w:color w:val="000000"/>
              </w:rPr>
            </w:pPr>
            <w:r>
              <w:rPr>
                <w:rFonts w:cs="Arial" w:ascii="Arial" w:hAnsi="Arial"/>
                <w:color w:val="000000"/>
              </w:rPr>
              <w:t>To ensure that effective assessment monitoring and evaluation procedures are put into place for the children, staff, the provision and planning and to ensure that these inform future developments, improvements and training needs.</w:t>
            </w:r>
          </w:p>
        </w:tc>
      </w:tr>
      <w:tr>
        <w:trPr>
          <w:trHeight w:val="506" w:hRule="atLeast"/>
        </w:trPr>
        <w:tc>
          <w:tcPr>
            <w:tcW w:w="709" w:type="dxa"/>
            <w:tcBorders/>
            <w:shd w:fill="auto" w:val="clear"/>
          </w:tcPr>
          <w:p>
            <w:pPr>
              <w:pStyle w:val="Normal"/>
              <w:spacing w:lineRule="auto" w:line="240" w:before="120" w:after="120"/>
              <w:rPr>
                <w:rFonts w:ascii="Arial" w:hAnsi="Arial" w:cs="Arial"/>
                <w:b/>
                <w:b/>
              </w:rPr>
            </w:pPr>
            <w:r>
              <w:rPr>
                <w:rFonts w:cs="Arial" w:ascii="Arial" w:hAnsi="Arial"/>
                <w:b/>
              </w:rPr>
              <w:t>10</w:t>
            </w:r>
          </w:p>
        </w:tc>
        <w:tc>
          <w:tcPr>
            <w:tcW w:w="8928" w:type="dxa"/>
            <w:gridSpan w:val="2"/>
            <w:tcBorders/>
            <w:shd w:fill="auto" w:val="clear"/>
          </w:tcPr>
          <w:p>
            <w:pPr>
              <w:pStyle w:val="Normal"/>
              <w:spacing w:lineRule="auto" w:line="240" w:before="120" w:after="120"/>
              <w:rPr>
                <w:rFonts w:ascii="Arial" w:hAnsi="Arial" w:cs="Arial"/>
              </w:rPr>
            </w:pPr>
            <w:r>
              <w:rPr>
                <w:rFonts w:cs="Arial" w:ascii="Arial" w:hAnsi="Arial"/>
              </w:rPr>
              <w:t>Any other duties in line with the post, which may be required from time to time.</w:t>
            </w:r>
          </w:p>
        </w:tc>
      </w:tr>
      <w:tr>
        <w:trPr/>
        <w:tc>
          <w:tcPr>
            <w:tcW w:w="4572" w:type="dxa"/>
            <w:gridSpan w:val="2"/>
            <w:tcBorders/>
            <w:shd w:fill="auto" w:val="clear"/>
          </w:tcPr>
          <w:p>
            <w:pPr>
              <w:pStyle w:val="Normal"/>
              <w:spacing w:lineRule="auto" w:line="240" w:before="120" w:after="12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120" w:after="120"/>
              <w:rPr>
                <w:rFonts w:ascii="Arial" w:hAnsi="Arial" w:cs="Arial"/>
                <w:b/>
                <w:b/>
              </w:rPr>
            </w:pPr>
            <w:r>
              <w:rPr>
                <w:rFonts w:cs="Arial" w:ascii="Arial" w:hAnsi="Arial"/>
                <w:b/>
              </w:rPr>
              <w:t xml:space="preserve">updated July 2026 </w:t>
            </w:r>
          </w:p>
        </w:tc>
      </w:tr>
      <w:tr>
        <w:trPr/>
        <w:tc>
          <w:tcPr>
            <w:tcW w:w="4572" w:type="dxa"/>
            <w:gridSpan w:val="2"/>
            <w:tcBorders/>
            <w:shd w:fill="auto" w:val="clear"/>
          </w:tcPr>
          <w:p>
            <w:pPr>
              <w:pStyle w:val="Normal"/>
              <w:spacing w:lineRule="auto" w:line="240" w:before="120" w:after="12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120" w:after="120"/>
              <w:rPr>
                <w:rFonts w:ascii="Arial" w:hAnsi="Arial" w:cs="Arial"/>
                <w:b/>
                <w:b/>
              </w:rPr>
            </w:pPr>
            <w:r>
              <w:rPr>
                <w:rFonts w:cs="Arial" w:ascii="Arial" w:hAnsi="Arial"/>
                <w:b/>
              </w:rPr>
              <w:t xml:space="preserve">Laura Wright </w:t>
            </w:r>
          </w:p>
        </w:tc>
      </w:tr>
    </w:tbl>
    <w:p>
      <w:pPr>
        <w:pStyle w:val="Normal"/>
        <w:rPr>
          <w:rFonts w:ascii="Arial" w:hAnsi="Arial" w:cs="Arial"/>
        </w:rPr>
      </w:pPr>
      <w:r>
        <w:rPr>
          <w:rFonts w:cs="Arial" w:ascii="Arial" w:hAnsi="Arial"/>
        </w:rPr>
      </w:r>
    </w:p>
    <w:p>
      <w:pPr>
        <w:pStyle w:val="Normal"/>
        <w:spacing w:lineRule="auto" w:line="256" w:before="0" w:after="160"/>
        <w:rPr>
          <w:rFonts w:ascii="Arial" w:hAnsi="Arial" w:cs="Arial"/>
        </w:rPr>
      </w:pPr>
      <w:r>
        <w:rPr>
          <w:rFonts w:cs="Arial" w:ascii="Arial" w:hAnsi="Arial"/>
        </w:rPr>
      </w:r>
      <w:r>
        <w:br w:type="page"/>
      </w:r>
    </w:p>
    <w:p>
      <w:pPr>
        <w:pStyle w:val="Normal"/>
        <w:rPr>
          <w:rFonts w:ascii="Arial" w:hAnsi="Arial" w:cs="Arial"/>
        </w:rPr>
      </w:pPr>
      <w:r>
        <w:rPr>
          <w:rFonts w:cs="Arial" w:ascii="Arial" w:hAnsi="Arial"/>
        </w:rPr>
        <w:drawing>
          <wp:anchor behindDoc="0" distT="0" distB="0" distL="0" distR="0" simplePos="0" locked="0" layoutInCell="1" allowOverlap="1" relativeHeight="10">
            <wp:simplePos x="0" y="0"/>
            <wp:positionH relativeFrom="column">
              <wp:posOffset>4547235</wp:posOffset>
            </wp:positionH>
            <wp:positionV relativeFrom="paragraph">
              <wp:posOffset>-360680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10075" w:type="dxa"/>
        <w:jc w:val="left"/>
        <w:tblInd w:w="0" w:type="dxa"/>
        <w:tblCellMar>
          <w:top w:w="0" w:type="dxa"/>
          <w:left w:w="108" w:type="dxa"/>
          <w:bottom w:w="0" w:type="dxa"/>
          <w:right w:w="108" w:type="dxa"/>
        </w:tblCellMar>
      </w:tblPr>
      <w:tblGrid>
        <w:gridCol w:w="566"/>
        <w:gridCol w:w="1101"/>
        <w:gridCol w:w="5703"/>
        <w:gridCol w:w="2695"/>
        <w:gridCol w:w="10"/>
      </w:tblGrid>
      <w:tr>
        <w:trPr/>
        <w:tc>
          <w:tcPr>
            <w:tcW w:w="1667"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2"/>
            <w:tcBorders/>
            <w:shd w:fill="auto" w:val="clear"/>
          </w:tcPr>
          <w:p>
            <w:pPr>
              <w:pStyle w:val="Normal"/>
              <w:spacing w:before="60" w:after="60"/>
              <w:rPr>
                <w:rFonts w:ascii="Arial" w:hAnsi="Arial" w:cs="Arial"/>
                <w:b/>
                <w:b/>
                <w:caps/>
              </w:rPr>
            </w:pPr>
            <w:r>
              <w:rPr>
                <w:rFonts w:cs="Arial" w:ascii="Arial" w:hAnsi="Arial"/>
                <w:b/>
                <w:caps/>
              </w:rPr>
              <w:t>Children’s services</w:t>
            </w:r>
          </w:p>
        </w:tc>
      </w:tr>
      <w:tr>
        <w:trPr/>
        <w:tc>
          <w:tcPr>
            <w:tcW w:w="1667"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8" w:type="dxa"/>
            <w:gridSpan w:val="2"/>
            <w:tcBorders>
              <w:bottom w:val="single" w:sz="4" w:space="0" w:color="000000"/>
            </w:tcBorders>
            <w:shd w:fill="auto" w:val="clear"/>
          </w:tcPr>
          <w:p>
            <w:pPr>
              <w:pStyle w:val="Normal"/>
              <w:spacing w:before="60" w:after="60"/>
              <w:rPr>
                <w:rFonts w:ascii="Arial" w:hAnsi="Arial" w:cs="Arial"/>
                <w:b/>
                <w:b/>
              </w:rPr>
            </w:pPr>
            <w:r>
              <w:rPr>
                <w:rFonts w:cs="Arial" w:ascii="Arial" w:hAnsi="Arial"/>
                <w:b/>
              </w:rPr>
              <w:t>START WELL EARLY YEARS CONSULTANT</w:t>
            </w:r>
          </w:p>
        </w:tc>
      </w:tr>
      <w:tr>
        <w:trPr/>
        <w:tc>
          <w:tcPr>
            <w:tcW w:w="1667"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bCs/>
              </w:rPr>
            </w:pPr>
            <w:r>
              <w:rPr>
                <w:rFonts w:cs="Arial" w:ascii="Arial" w:hAnsi="Arial"/>
                <w:bCs/>
              </w:rPr>
              <w:t>Disabled candidates are guaranteed an interview if they meet the essential criteria</w:t>
            </w:r>
          </w:p>
        </w:tc>
      </w:tr>
      <w:tr>
        <w:trPr/>
        <w:tc>
          <w:tcPr>
            <w:tcW w:w="7370"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2705"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566"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499"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1.</w:t>
            </w:r>
          </w:p>
        </w:tc>
        <w:tc>
          <w:tcPr>
            <w:tcW w:w="6804" w:type="dxa"/>
            <w:gridSpan w:val="2"/>
            <w:tcBorders>
              <w:top w:val="single" w:sz="4" w:space="0" w:color="000000"/>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 xml:space="preserve">The ability to motivate and enthuse staff. </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Interview</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2.</w:t>
            </w:r>
          </w:p>
        </w:tc>
        <w:tc>
          <w:tcPr>
            <w:tcW w:w="6804" w:type="dxa"/>
            <w:gridSpan w:val="2"/>
            <w:tcBorders>
              <w:top w:val="single" w:sz="4" w:space="0" w:color="000000"/>
              <w:bottom w:val="single" w:sz="4" w:space="0" w:color="000000"/>
            </w:tcBorders>
            <w:shd w:fill="auto" w:val="clear"/>
          </w:tcPr>
          <w:p>
            <w:pPr>
              <w:pStyle w:val="Default"/>
              <w:spacing w:lineRule="auto" w:line="276" w:before="60" w:after="60"/>
              <w:ind w:left="0" w:right="170" w:hanging="0"/>
              <w:rPr>
                <w:sz w:val="22"/>
                <w:szCs w:val="22"/>
              </w:rPr>
            </w:pPr>
            <w:r>
              <w:rPr>
                <w:sz w:val="22"/>
                <w:szCs w:val="22"/>
              </w:rPr>
              <w:t>The ability to plan and deliver educational programmes.</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Application/Assessment Centre</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3.</w:t>
            </w:r>
          </w:p>
        </w:tc>
        <w:tc>
          <w:tcPr>
            <w:tcW w:w="6804" w:type="dxa"/>
            <w:gridSpan w:val="2"/>
            <w:tcBorders>
              <w:top w:val="single" w:sz="4" w:space="0" w:color="000000"/>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The ability to use own initiative.</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4.</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An understanding of the key issues involved in developing high quality early years education and care, including effective systems for observation, assessment and planning for young children’s needs and interests.</w:t>
            </w:r>
          </w:p>
        </w:tc>
        <w:tc>
          <w:tcPr>
            <w:tcW w:w="2695" w:type="dxa"/>
            <w:tcBorders>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5.</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An understanding of Bolton’s Framework for Action and Early help processes.</w:t>
            </w:r>
          </w:p>
        </w:tc>
        <w:tc>
          <w:tcPr>
            <w:tcW w:w="2695" w:type="dxa"/>
            <w:tcBorders>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6.</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Highly developed communication skills (oral and written) and good ICT skills.</w:t>
            </w:r>
          </w:p>
        </w:tc>
        <w:tc>
          <w:tcPr>
            <w:tcW w:w="2695" w:type="dxa"/>
            <w:tcBorders>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Application/Interview/ Assessment Centre</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7.</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 xml:space="preserve">A detailed understanding of child development and early years pedagogy, including thorough knowledge of the Early years Foundation Stage </w:t>
            </w:r>
          </w:p>
        </w:tc>
        <w:tc>
          <w:tcPr>
            <w:tcW w:w="2695" w:type="dxa"/>
            <w:tcBorders>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Application/Interview/ Presentation</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8.</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Knowledge of the Childcare Act (2006), SEND Code of Practice (2014) the Best Start in Life strategy (2025) and recent national initiatives and policies concerning Early Years provision and Family Hubs.</w:t>
            </w:r>
          </w:p>
        </w:tc>
        <w:tc>
          <w:tcPr>
            <w:tcW w:w="2695" w:type="dxa"/>
            <w:tcBorders>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9.</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Knowledge of Ofsted inspection – including the requirements of Inspection for Early Years and childcare settings.</w:t>
            </w:r>
          </w:p>
        </w:tc>
        <w:tc>
          <w:tcPr>
            <w:tcW w:w="2695" w:type="dxa"/>
            <w:tcBorders>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10.</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 xml:space="preserve">Adaptability, flexibility and a willingness to establish positive working relationships with colleagues. </w:t>
            </w:r>
          </w:p>
        </w:tc>
        <w:tc>
          <w:tcPr>
            <w:tcW w:w="2695" w:type="dxa"/>
            <w:tcBorders>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11.</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 xml:space="preserve">The ability to work alongside other professionals and promote positive relationships. </w:t>
            </w:r>
          </w:p>
        </w:tc>
        <w:tc>
          <w:tcPr>
            <w:tcW w:w="2695" w:type="dxa"/>
            <w:tcBorders>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Application/Interview/ Assessment Centre</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12.</w:t>
            </w:r>
          </w:p>
        </w:tc>
        <w:tc>
          <w:tcPr>
            <w:tcW w:w="6804" w:type="dxa"/>
            <w:gridSpan w:val="2"/>
            <w:tcBorders>
              <w:bottom w:val="single" w:sz="4" w:space="0" w:color="000000"/>
            </w:tcBorders>
            <w:shd w:fill="auto" w:val="clear"/>
          </w:tcPr>
          <w:p>
            <w:pPr>
              <w:pStyle w:val="Normal"/>
              <w:spacing w:before="60" w:after="6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2695"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w:t>
            </w:r>
          </w:p>
        </w:tc>
      </w:tr>
      <w:tr>
        <w:trPr>
          <w:cantSplit w:val="true"/>
        </w:trPr>
        <w:tc>
          <w:tcPr>
            <w:tcW w:w="10075"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1.</w:t>
            </w:r>
          </w:p>
        </w:tc>
        <w:tc>
          <w:tcPr>
            <w:tcW w:w="6804"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Substantial recent and relevant experience of leading practice in an early years setting. Experience of working with children from birth to three is essential.</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Interview</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2.</w:t>
            </w:r>
          </w:p>
        </w:tc>
        <w:tc>
          <w:tcPr>
            <w:tcW w:w="6804"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Of leading practice to develop practitioners’ confidence and improve children’s early speech, language and communication.</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Interview</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3.</w:t>
            </w:r>
          </w:p>
        </w:tc>
        <w:tc>
          <w:tcPr>
            <w:tcW w:w="6804"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Graduate level qualification relevant to early year’s education and care.</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documentation</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4.</w:t>
            </w:r>
          </w:p>
        </w:tc>
        <w:tc>
          <w:tcPr>
            <w:tcW w:w="6804"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Relevant professional qualification (eg teaching qualification, Early Years Professional Status, social care qualification).</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documentation</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5.</w:t>
            </w:r>
          </w:p>
        </w:tc>
        <w:tc>
          <w:tcPr>
            <w:tcW w:w="6804"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Evidence of recent post qualification of study or training (eg WellComm, ELKAN, I CAN, speech and language therapy training, Solihull Approach).</w:t>
            </w:r>
          </w:p>
        </w:tc>
        <w:tc>
          <w:tcPr>
            <w:tcW w:w="2695" w:type="dxa"/>
            <w:tcBorders>
              <w:top w:val="single" w:sz="4" w:space="0" w:color="000000"/>
              <w:bottom w:val="single" w:sz="4" w:space="0" w:color="000000"/>
            </w:tcBorders>
            <w:shd w:fill="auto" w:val="clear"/>
          </w:tcPr>
          <w:p>
            <w:pPr>
              <w:pStyle w:val="Normal"/>
              <w:spacing w:before="60" w:after="60"/>
              <w:rPr/>
            </w:pPr>
            <w:r>
              <w:rPr>
                <w:rFonts w:eastAsia="Arial" w:cs="Arial" w:ascii="Arial" w:hAnsi="Arial"/>
                <w:color w:val="000000"/>
              </w:rPr>
              <w:t xml:space="preserve"> </w:t>
            </w:r>
            <w:r>
              <w:rPr>
                <w:rFonts w:cs="Arial" w:ascii="Arial" w:hAnsi="Arial"/>
                <w:color w:val="000000"/>
              </w:rPr>
              <w:t>Application / documentation</w:t>
            </w:r>
          </w:p>
        </w:tc>
      </w:tr>
      <w:tr>
        <w:trPr>
          <w:cantSplit w:val="true"/>
        </w:trPr>
        <w:tc>
          <w:tcPr>
            <w:tcW w:w="10075"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1.</w:t>
            </w:r>
          </w:p>
        </w:tc>
        <w:tc>
          <w:tcPr>
            <w:tcW w:w="6804"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Willingness to work flexibly throughout the year including occasional evening and weekend commitments.</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Interview</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2.</w:t>
            </w:r>
          </w:p>
        </w:tc>
        <w:tc>
          <w:tcPr>
            <w:tcW w:w="6804" w:type="dxa"/>
            <w:gridSpan w:val="2"/>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p>
            <w:pPr>
              <w:pStyle w:val="Normal"/>
              <w:spacing w:before="60" w:after="60"/>
              <w:rPr>
                <w:rFonts w:ascii="Arial" w:hAnsi="Arial" w:cs="Arial"/>
              </w:rPr>
            </w:pPr>
            <w:r>
              <w:rPr>
                <w:rFonts w:cs="Arial" w:ascii="Arial" w:hAnsi="Arial"/>
              </w:rPr>
              <w:t>Documentation</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3.</w:t>
            </w:r>
          </w:p>
        </w:tc>
        <w:tc>
          <w:tcPr>
            <w:tcW w:w="6804" w:type="dxa"/>
            <w:gridSpan w:val="2"/>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This post is subject to an enhanced disclosure from the Disclosure &amp; Barring Service</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Satisfactory DBS Disclosure</w:t>
            </w:r>
          </w:p>
        </w:tc>
      </w:tr>
    </w:tbl>
    <w:p>
      <w:pPr>
        <w:pStyle w:val="Normal"/>
        <w:spacing w:before="0" w:after="0"/>
        <w:rPr>
          <w:rFonts w:ascii="Arial" w:hAnsi="Arial" w:cs="Arial"/>
        </w:rPr>
      </w:pPr>
      <w:r>
        <w:rPr>
          <w:rFonts w:cs="Arial" w:ascii="Arial" w:hAnsi="Arial"/>
        </w:rPr>
      </w:r>
    </w:p>
    <w:tbl>
      <w:tblPr>
        <w:tblW w:w="10070" w:type="dxa"/>
        <w:jc w:val="left"/>
        <w:tblInd w:w="0" w:type="dxa"/>
        <w:tblCellMar>
          <w:top w:w="0" w:type="dxa"/>
          <w:left w:w="108" w:type="dxa"/>
          <w:bottom w:w="0" w:type="dxa"/>
          <w:right w:w="108" w:type="dxa"/>
        </w:tblCellMar>
      </w:tblPr>
      <w:tblGrid>
        <w:gridCol w:w="675"/>
        <w:gridCol w:w="1133"/>
        <w:gridCol w:w="5275"/>
        <w:gridCol w:w="2977"/>
        <w:gridCol w:w="10"/>
      </w:tblGrid>
      <w:tr>
        <w:trPr>
          <w:trHeight w:val="653" w:hRule="atLeast"/>
        </w:trPr>
        <w:tc>
          <w:tcPr>
            <w:tcW w:w="1808" w:type="dxa"/>
            <w:gridSpan w:val="2"/>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826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083" w:type="dxa"/>
            <w:gridSpan w:val="3"/>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2987"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10070"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1.</w:t>
            </w:r>
          </w:p>
        </w:tc>
        <w:tc>
          <w:tcPr>
            <w:tcW w:w="6408"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IT capability</w:t>
            </w:r>
          </w:p>
        </w:tc>
        <w:tc>
          <w:tcPr>
            <w:tcW w:w="297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 xml:space="preserve">Application form </w:t>
            </w:r>
          </w:p>
        </w:tc>
      </w:tr>
      <w:tr>
        <w:trPr>
          <w:cantSplit w:val="true"/>
        </w:trPr>
        <w:tc>
          <w:tcPr>
            <w:tcW w:w="10070"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1.</w:t>
            </w:r>
          </w:p>
        </w:tc>
        <w:tc>
          <w:tcPr>
            <w:tcW w:w="6408"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Experience of working with Early Years and childcare providers in the private and voluntary sectors.</w:t>
            </w:r>
          </w:p>
        </w:tc>
        <w:tc>
          <w:tcPr>
            <w:tcW w:w="297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Interview</w:t>
            </w:r>
          </w:p>
        </w:tc>
      </w:tr>
      <w:tr>
        <w:trPr>
          <w:cantSplit w:val="true"/>
        </w:trPr>
        <w:tc>
          <w:tcPr>
            <w:tcW w:w="67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2.</w:t>
            </w:r>
          </w:p>
        </w:tc>
        <w:tc>
          <w:tcPr>
            <w:tcW w:w="6408"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Specialist qualification in language development/ communication.</w:t>
            </w:r>
          </w:p>
        </w:tc>
        <w:tc>
          <w:tcPr>
            <w:tcW w:w="297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Interview</w:t>
            </w:r>
          </w:p>
        </w:tc>
      </w:tr>
      <w:tr>
        <w:trPr>
          <w:cantSplit w:val="true"/>
        </w:trPr>
        <w:tc>
          <w:tcPr>
            <w:tcW w:w="67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3.</w:t>
            </w:r>
          </w:p>
        </w:tc>
        <w:tc>
          <w:tcPr>
            <w:tcW w:w="6408" w:type="dxa"/>
            <w:gridSpan w:val="2"/>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Experience of delivering adult education programmes.</w:t>
            </w:r>
          </w:p>
        </w:tc>
        <w:tc>
          <w:tcPr>
            <w:tcW w:w="297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Application / Interview</w:t>
            </w:r>
          </w:p>
        </w:tc>
      </w:tr>
    </w:tbl>
    <w:p>
      <w:pPr>
        <w:pStyle w:val="Normal"/>
        <w:spacing w:before="0" w:after="0"/>
        <w:rPr>
          <w:rFonts w:ascii="Arial" w:hAnsi="Arial" w:cs="Arial"/>
        </w:rPr>
      </w:pPr>
      <w:r>
        <w:rPr>
          <w:rFonts w:cs="Arial" w:ascii="Arial" w:hAnsi="Arial"/>
        </w:rPr>
      </w:r>
    </w:p>
    <w:tbl>
      <w:tblPr>
        <w:tblW w:w="9627" w:type="dxa"/>
        <w:jc w:val="left"/>
        <w:tblInd w:w="0" w:type="dxa"/>
        <w:tblCellMar>
          <w:top w:w="0" w:type="dxa"/>
          <w:left w:w="108" w:type="dxa"/>
          <w:bottom w:w="0" w:type="dxa"/>
          <w:right w:w="108" w:type="dxa"/>
        </w:tblCellMar>
      </w:tblPr>
      <w:tblGrid>
        <w:gridCol w:w="5812"/>
        <w:gridCol w:w="3815"/>
      </w:tblGrid>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June 2021 updated July 2026</w:t>
            </w:r>
          </w:p>
        </w:tc>
      </w:tr>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 xml:space="preserve">Laura Wright </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6122035" cy="162814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p>
      <w:pPr>
        <w:pStyle w:val="Normal"/>
        <w:spacing w:before="0" w:after="200"/>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S2">
    <w:name w:val="s2"/>
    <w:basedOn w:val="DefaultParagraphFont"/>
    <w:qFormat/>
    <w:rPr/>
  </w:style>
  <w:style w:type="character" w:styleId="BodyTextChar">
    <w:name w:val="Body Text Char"/>
    <w:basedOn w:val="DefaultParagraphFont"/>
    <w:qFormat/>
    <w:rPr>
      <w:rFonts w:ascii="Arial" w:hAnsi="Arial" w:eastAsia="Times New Roman" w:cs="Times New Roman"/>
      <w:lang w:eastAsia="en-GB"/>
    </w:rPr>
  </w:style>
  <w:style w:type="character" w:styleId="CommentTextChar">
    <w:name w:val="Comment Text Char"/>
    <w:basedOn w:val="DefaultParagraphFont"/>
    <w:qFormat/>
    <w:rPr>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64" w:before="0" w:after="0"/>
      <w:jc w:val="both"/>
    </w:pPr>
    <w:rPr>
      <w:rFonts w:ascii="Arial" w:hAnsi="Arial" w:eastAsia="Times New Roman" w:cs="Times New Roman"/>
      <w:lang w:eastAsia="en-G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Annotationtext">
    <w:name w:val="annotation text"/>
    <w:basedOn w:val="Normal"/>
    <w:qFormat/>
    <w:pPr>
      <w:spacing w:lineRule="auto" w:line="240"/>
    </w:pPr>
    <w:rPr>
      <w:sz w:val="20"/>
      <w:szCs w:val="20"/>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2026-08-06T12:25:00Z</dcterms:created>
  <dc:creator>Johnson, Andrew</dc:creator>
  <dc:description/>
  <dc:language>en-US</dc:language>
  <cp:lastModifiedBy>Franklin, Alice</cp:lastModifiedBy>
  <cp:lastPrinted>1995-11-21T17:41:00Z</cp:lastPrinted>
  <dcterms:modified xsi:type="dcterms:W3CDTF">2026-08-06T12:25:00Z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4</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y fmtid="{D5CDD505-2E9C-101B-9397-08002B2CF9AE}" pid="12" name="_dlc_DocIdItemGuid">
    <vt:lpwstr>64b058e9-1ce6-44a7-905b-ed2b68736165</vt:lpwstr>
  </property>
</Properties>
</file>