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bCs/>
          <w:sz w:val="40"/>
          <w:szCs w:val="40"/>
        </w:rPr>
      </w:pPr>
      <w:r>
        <w:rPr>
          <w:rFonts w:eastAsia="Arial" w:cs="Arial" w:ascii="Arial" w:hAnsi="Arial"/>
          <w:b/>
          <w:bCs/>
          <w:sz w:val="40"/>
          <w:szCs w:val="40"/>
        </w:rPr>
        <w:t xml:space="preserve"> </w:t>
      </w:r>
      <w:r>
        <w:rPr>
          <w:rFonts w:cs="Arial" w:ascii="Arial" w:hAnsi="Arial"/>
          <w:b/>
          <w:bCs/>
          <w:sz w:val="40"/>
          <w:szCs w:val="40"/>
        </w:rPr>
        <w:t xml:space="preserve">Job Description </w:t>
      </w:r>
    </w:p>
    <w:tbl>
      <w:tblPr>
        <w:tblW w:w="9627" w:type="dxa"/>
        <w:jc w:val="left"/>
        <w:tblInd w:w="0" w:type="dxa"/>
        <w:tblCellMar>
          <w:top w:w="0" w:type="dxa"/>
          <w:left w:w="108" w:type="dxa"/>
          <w:bottom w:w="0" w:type="dxa"/>
          <w:right w:w="108" w:type="dxa"/>
        </w:tblCellMar>
      </w:tblPr>
      <w:tblGrid>
        <w:gridCol w:w="2638"/>
        <w:gridCol w:w="6989"/>
      </w:tblGrid>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Department</w:t>
            </w:r>
          </w:p>
        </w:tc>
        <w:tc>
          <w:tcPr>
            <w:tcW w:w="6989" w:type="dxa"/>
            <w:tcBorders/>
            <w:shd w:fill="auto" w:val="clear"/>
            <w:vAlign w:val="cente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Job Title</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Family Group Conference Worker</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Grade</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H</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Primary Purpose of Job</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Family Group Conferences (FGC’s) are based on the principles of partnership and are a means of enabling families to find culturally sensitive solutions to their own problems within a professionally supportive framework. The process aims to make use of the family’s strengths and resources and seeks to respect each family’s own culture and values.</w:t>
            </w:r>
          </w:p>
          <w:p>
            <w:pPr>
              <w:pStyle w:val="Normal"/>
              <w:spacing w:lineRule="auto" w:line="240" w:before="0" w:after="0"/>
              <w:rPr>
                <w:rFonts w:ascii="Arial" w:hAnsi="Arial" w:cs="Arial"/>
              </w:rPr>
            </w:pPr>
            <w:r>
              <w:rPr>
                <w:rFonts w:cs="Arial" w:ascii="Arial" w:hAnsi="Arial"/>
              </w:rPr>
              <w:t xml:space="preserve">To Deliver Family Group Conference sessions with children and their families as part of a case load.  </w:t>
            </w:r>
          </w:p>
          <w:p>
            <w:pPr>
              <w:pStyle w:val="Normal"/>
              <w:spacing w:lineRule="auto" w:line="240" w:before="0" w:after="0"/>
              <w:rPr>
                <w:rFonts w:ascii="Arial" w:hAnsi="Arial" w:cs="Arial"/>
              </w:rPr>
            </w:pPr>
            <w:r>
              <w:rPr>
                <w:rFonts w:cs="Arial" w:ascii="Arial" w:hAnsi="Arial"/>
              </w:rPr>
              <w:t xml:space="preserve">Mediate and facilitate Family Group Conferences and ensure that the organisation of meetings are in the best interests of Children.  </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Reporting To</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Family Group Conference &amp; Family Network Team Manager</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Direct Staffing Reports</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Family Group Conference Worker will facilitate Family Group Conferences and reviews in a way that responds appropriately to the needs of individual families and working to agreed standards and principles to deliver a quality 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Promote and coordinate Family Group Conference approaches to empower young people and their families to make family-led decisions.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Support young people with a care experience to identify and strengthen key relationships within their support network as they move into independence. This includes both family members and other significant individuals in the young person’s life, promoting and coordinate lifelong links meetings utilising the Family Rights Group model of Family Group Conferencing.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Work in partnership with parents, children, family members and subsequent others as agreed by the family and support effective communication using a whole family approach and a single action plan to build resilience and maintain positive changes.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Co-ordinate meetings which bring together families and professionals to make and agree safe plans for children and young people.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56" w:before="0" w:after="160"/>
              <w:jc w:val="both"/>
              <w:rPr>
                <w:rFonts w:ascii="Arial" w:hAnsi="Arial" w:cs="Arial"/>
              </w:rPr>
            </w:pPr>
            <w:r>
              <w:rPr>
                <w:rFonts w:cs="Arial" w:ascii="Arial" w:hAnsi="Arial"/>
              </w:rPr>
              <w:t xml:space="preserve">Ensure that all family members are able to participate fully in the Family Group Conference process, including facilitating the involvement of children and young people in FGC’s and providing appropriate support to vulnerable adults to enable them to engage in the FGC process.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Ensure all parties are clear about the purpose of the conference and their role within it; including inclusion/exclusion of family member(s) if necessary, in the interests of the child(ren) identifying and arranging, if appropriate, an alternative method of contribution to the process.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Plan their work with the family following a comprehensive assessment of need, comprising a robust and inclusive SMART action plan and incorporating a process of regular multi-agency reviews.  The overall aim is to work with the family in a way that raises aspirations, builds resilience and overcomes barriers to progression, empowering the family to develop new skills and build on their own innate strengths.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Work with children and families across the Children’s Needs and Response Framework including those at Early Help, Child in Need, Child Protection and Cared for Children levels including those at PLO and within the Court arena.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develop own knowledge and practice relation to own area of work across professional and organisational boundaries.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Manage, organise, support and maintain the use of information technology systems and software.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Any other duties in line with the post, which may be required from time to time.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jc w:val="both"/>
              <w:rPr>
                <w:rFonts w:ascii="Arial" w:hAnsi="Arial" w:cs="Arial"/>
                <w:b/>
                <w:b/>
              </w:rPr>
            </w:pPr>
            <w:r>
              <w:rPr>
                <w:rFonts w:cs="Arial" w:ascii="Arial" w:hAnsi="Arial"/>
                <w:b/>
              </w:rPr>
              <w:t>Nov 2024</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jc w:val="both"/>
              <w:rPr>
                <w:rFonts w:ascii="Arial" w:hAnsi="Arial" w:cs="Arial"/>
                <w:b/>
                <w:b/>
              </w:rPr>
            </w:pPr>
            <w:r>
              <w:rPr>
                <w:rFonts w:cs="Arial" w:ascii="Arial" w:hAnsi="Arial"/>
                <w:b/>
              </w:rPr>
              <w:t>Nicola Murphy, Strategic Lead Targeted Early Help</w:t>
            </w:r>
          </w:p>
        </w:tc>
      </w:tr>
    </w:tbl>
    <w:p>
      <w:pPr>
        <w:sectPr>
          <w:headerReference w:type="default" r:id="rId3"/>
          <w:footerReference w:type="default" r:id="rId4"/>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rPr>
          <w:rFonts w:ascii="Arial" w:hAnsi="Arial" w:cs="Arial"/>
          <w:b/>
          <w:b/>
          <w:bCs/>
          <w:sz w:val="40"/>
          <w:szCs w:val="40"/>
        </w:rPr>
      </w:pPr>
      <w:r>
        <w:rPr>
          <w:rFonts w:cs="Arial" w:ascii="Arial" w:hAnsi="Arial"/>
          <w:b/>
          <w:bCs/>
          <w:sz w:val="40"/>
          <w:szCs w:val="40"/>
        </w:rPr>
        <w:t>Person Specification</w:t>
      </w:r>
    </w:p>
    <w:tbl>
      <w:tblPr>
        <w:tblW w:w="10075" w:type="dxa"/>
        <w:jc w:val="left"/>
        <w:tblInd w:w="0" w:type="dxa"/>
        <w:tblCellMar>
          <w:top w:w="0" w:type="dxa"/>
          <w:left w:w="108" w:type="dxa"/>
          <w:bottom w:w="0" w:type="dxa"/>
          <w:right w:w="108" w:type="dxa"/>
        </w:tblCellMar>
      </w:tblPr>
      <w:tblGrid>
        <w:gridCol w:w="675"/>
        <w:gridCol w:w="33"/>
        <w:gridCol w:w="959"/>
        <w:gridCol w:w="141"/>
        <w:gridCol w:w="4659"/>
        <w:gridCol w:w="19"/>
        <w:gridCol w:w="3579"/>
        <w:gridCol w:w="10"/>
      </w:tblGrid>
      <w:tr>
        <w:trPr/>
        <w:tc>
          <w:tcPr>
            <w:tcW w:w="1667" w:type="dxa"/>
            <w:gridSpan w:val="3"/>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4"/>
            <w:tcBorders/>
            <w:shd w:fill="auto" w:val="clear"/>
          </w:tcPr>
          <w:p>
            <w:pPr>
              <w:pStyle w:val="Normal"/>
              <w:spacing w:before="60" w:after="60"/>
              <w:rPr>
                <w:rFonts w:ascii="Arial" w:hAnsi="Arial" w:cs="Arial"/>
                <w:b/>
                <w:b/>
              </w:rPr>
            </w:pPr>
            <w:r>
              <w:rPr>
                <w:rFonts w:cs="Arial" w:ascii="Arial" w:hAnsi="Arial"/>
                <w:b/>
              </w:rPr>
              <w:t>CHILDREN’S SERVICES</w:t>
            </w:r>
          </w:p>
        </w:tc>
      </w:tr>
      <w:tr>
        <w:trPr/>
        <w:tc>
          <w:tcPr>
            <w:tcW w:w="1667" w:type="dxa"/>
            <w:gridSpan w:val="3"/>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4"/>
            <w:tcBorders>
              <w:bottom w:val="single" w:sz="4" w:space="0" w:color="000000"/>
            </w:tcBorders>
            <w:shd w:fill="auto" w:val="clear"/>
          </w:tcPr>
          <w:p>
            <w:pPr>
              <w:pStyle w:val="Normal"/>
              <w:spacing w:before="60" w:after="60"/>
              <w:rPr>
                <w:rFonts w:ascii="Arial" w:hAnsi="Arial" w:cs="Arial"/>
                <w:b/>
                <w:b/>
                <w:bCs/>
              </w:rPr>
            </w:pPr>
            <w:r>
              <w:rPr>
                <w:rFonts w:cs="Arial" w:ascii="Arial" w:hAnsi="Arial"/>
                <w:b/>
                <w:bCs/>
              </w:rPr>
              <w:t>FAMILY GROUP CONFERENCE WORKER</w:t>
            </w:r>
          </w:p>
        </w:tc>
      </w:tr>
      <w:tr>
        <w:trPr/>
        <w:tc>
          <w:tcPr>
            <w:tcW w:w="1667" w:type="dxa"/>
            <w:gridSpan w:val="3"/>
            <w:tcBorders>
              <w:top w:val="single" w:sz="4" w:space="0" w:color="000000"/>
              <w:left w:val="single" w:sz="4" w:space="0" w:color="000000"/>
              <w:bottom w:val="single" w:sz="4" w:space="0" w:color="000000"/>
            </w:tcBorders>
            <w:shd w:fill="auto" w:val="clear"/>
          </w:tcPr>
          <w:p>
            <w:pPr>
              <w:pStyle w:val="Normal"/>
              <w:spacing w:before="60" w:after="240"/>
              <w:jc w:val="both"/>
              <w:rPr>
                <w:rFonts w:ascii="Arial" w:hAnsi="Arial" w:cs="Arial"/>
                <w:b/>
                <w:b/>
              </w:rPr>
            </w:pPr>
            <w:r>
              <w:rPr>
                <w:rFonts w:cs="Arial" w:ascii="Arial" w:hAnsi="Arial"/>
                <w:b/>
              </w:rPr>
              <w:t>Stage One</w:t>
            </w:r>
          </w:p>
        </w:tc>
        <w:tc>
          <w:tcPr>
            <w:tcW w:w="84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jc w:val="both"/>
              <w:rPr/>
            </w:pPr>
            <w:r>
              <w:rPr>
                <w:rFonts w:cs="Arial" w:ascii="Arial" w:hAnsi="Arial"/>
                <w:bCs/>
              </w:rPr>
              <w:t xml:space="preserve">Candidates who are care leavers, have a disability, are ex-armed forces or are a carer (see </w:t>
            </w:r>
            <w:r>
              <w:rPr>
                <w:rStyle w:val="InternetLink"/>
                <w:rFonts w:cs="Arial" w:ascii="Arial" w:hAnsi="Arial"/>
              </w:rPr>
              <w:t>Carers-Charter-FINAL.pdf (gmhsc.org.uk)</w:t>
            </w:r>
            <w:r>
              <w:rPr>
                <w:rFonts w:cs="Arial" w:ascii="Arial" w:hAnsi="Arial"/>
              </w:rPr>
              <w:t xml:space="preserve"> </w:t>
            </w:r>
            <w:r>
              <w:rPr>
                <w:rFonts w:cs="Arial" w:ascii="Arial" w:hAnsi="Arial"/>
                <w:bCs/>
              </w:rPr>
              <w:t xml:space="preserve">are guaranteed an interview if they meet the essential criteria for the role </w:t>
            </w:r>
          </w:p>
        </w:tc>
      </w:tr>
      <w:tr>
        <w:trPr/>
        <w:tc>
          <w:tcPr>
            <w:tcW w:w="6486" w:type="dxa"/>
            <w:gridSpan w:val="6"/>
            <w:tcBorders>
              <w:top w:val="single" w:sz="4" w:space="0" w:color="000000"/>
              <w:left w:val="single" w:sz="4" w:space="0" w:color="000000"/>
            </w:tcBorders>
            <w:shd w:fill="000000" w:val="clear"/>
          </w:tcPr>
          <w:p>
            <w:pPr>
              <w:pStyle w:val="Normal"/>
              <w:spacing w:before="60" w:after="60"/>
              <w:jc w:val="both"/>
              <w:rPr>
                <w:rFonts w:ascii="Arial" w:hAnsi="Arial" w:cs="Arial"/>
                <w:b/>
                <w:b/>
                <w:color w:val="FFFFFF"/>
              </w:rPr>
            </w:pPr>
            <w:r>
              <w:rPr>
                <w:rFonts w:cs="Arial" w:ascii="Arial" w:hAnsi="Arial"/>
                <w:b/>
                <w:color w:val="FFFFFF"/>
              </w:rPr>
              <w:t>The Minimum Essential Requirements for the above Post are as Follows:</w:t>
            </w:r>
          </w:p>
        </w:tc>
        <w:tc>
          <w:tcPr>
            <w:tcW w:w="3589" w:type="dxa"/>
            <w:tcBorders>
              <w:top w:val="single" w:sz="4" w:space="0" w:color="000000"/>
              <w:left w:val="single" w:sz="4" w:space="0" w:color="000000"/>
              <w:right w:val="single" w:sz="4" w:space="0" w:color="000000"/>
            </w:tcBorders>
            <w:shd w:fill="000000" w:val="clear"/>
          </w:tcPr>
          <w:p>
            <w:pPr>
              <w:pStyle w:val="Normal"/>
              <w:spacing w:before="60" w:after="60"/>
              <w:jc w:val="both"/>
              <w:rPr>
                <w:rFonts w:ascii="Arial" w:hAnsi="Arial" w:cs="Arial"/>
                <w:b/>
                <w:b/>
                <w:color w:val="FFFFFF"/>
              </w:rPr>
            </w:pPr>
            <w:r>
              <w:rPr>
                <w:rFonts w:cs="Arial" w:ascii="Arial" w:hAnsi="Arial"/>
                <w:b/>
                <w:color w:val="FFFFFF"/>
              </w:rPr>
              <w:t>Method of Assessment</w:t>
            </w:r>
          </w:p>
        </w:tc>
      </w:tr>
      <w:tr>
        <w:trPr>
          <w:cantSplit w:val="true"/>
        </w:trPr>
        <w:tc>
          <w:tcPr>
            <w:tcW w:w="675" w:type="dxa"/>
            <w:tcBorders>
              <w:left w:val="single" w:sz="4" w:space="0" w:color="000000"/>
              <w:bottom w:val="single" w:sz="4" w:space="0" w:color="000000"/>
            </w:tcBorders>
            <w:shd w:fill="D9D9D9" w:val="clear"/>
          </w:tcPr>
          <w:p>
            <w:pPr>
              <w:pStyle w:val="Normal"/>
              <w:spacing w:before="60" w:after="60"/>
              <w:jc w:val="both"/>
              <w:rPr>
                <w:rFonts w:ascii="Arial" w:hAnsi="Arial" w:cs="Arial"/>
                <w:b/>
                <w:b/>
              </w:rPr>
            </w:pPr>
            <w:r>
              <w:rPr>
                <w:rFonts w:cs="Arial" w:ascii="Arial" w:hAnsi="Arial"/>
                <w:b/>
              </w:rPr>
              <w:t>1.</w:t>
            </w:r>
          </w:p>
        </w:tc>
        <w:tc>
          <w:tcPr>
            <w:tcW w:w="9400" w:type="dxa"/>
            <w:gridSpan w:val="6"/>
            <w:tcBorders>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Skills and Knowledge</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 working knowledge of the Family Group Conference Model and Family Network approaches.</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 working knowledge of social work theories and knowledge of how to embed this into practice, including an understanding of complex case work in Children’s Social Care and case work in Early Help, including thresholds, assessments and referral processes.</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Demonstrate knowledge and understanding of key legislation and national drivers such as Stable Homes Built on Love, Children and Families Act 2014, Working Together 2023, KCSIE 2023 and other relevant guidance.</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4.</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Highly developed skills in engaging families.</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5.</w:t>
            </w:r>
          </w:p>
        </w:tc>
        <w:tc>
          <w:tcPr>
            <w:tcW w:w="5811" w:type="dxa"/>
            <w:gridSpan w:val="5"/>
            <w:tcBorders>
              <w:bottom w:val="single" w:sz="4" w:space="0" w:color="000000"/>
            </w:tcBorders>
            <w:shd w:fill="auto" w:val="clear"/>
          </w:tcPr>
          <w:p>
            <w:pPr>
              <w:pStyle w:val="Normal"/>
              <w:spacing w:before="120" w:after="120"/>
              <w:ind w:left="0" w:right="175" w:hanging="0"/>
              <w:jc w:val="both"/>
              <w:rPr/>
            </w:pPr>
            <w:r>
              <w:rPr>
                <w:rFonts w:cs="Arial" w:ascii="Arial" w:hAnsi="Arial"/>
              </w:rPr>
              <w:t>In depth understanding of restorative approaches and how these apply to family led, solution focussed interventions to empower families.</w:t>
            </w:r>
            <w:r>
              <w:rPr/>
              <w:t xml:space="preserve">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6.</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Excellent communication skills (written, verbal and listening) and the ability to explore issues and establish facts.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7.</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Excellent negotiation and problem-solving skills.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8.</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Able to work to deadlines and to plan and organise your work effectively to meet these.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9.</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Able to work with families in a way that raises aspirations, builds resilience and overcomes barriers to progression, empowering the family to develop new skills and build on their own innate strengths.</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10.</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To demonstrate an understanding of Child Protection procedures and have the ability to respond to and act upon your own and other people’s suspicion/disclosure of risk of significant harm and abuse.</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11.</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Able to make and maintain appropriate professional relationships and to influence effectively.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12.</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Have a good understanding of approaches to ensure the voice and experiences of children, young people and families are at the core of planning, using restorative and creative approaches to engage with them.</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13.</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competently work with IT systems.</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w:t>
            </w:r>
          </w:p>
        </w:tc>
      </w:tr>
      <w:tr>
        <w:trPr>
          <w:cantSplit w:val="true"/>
        </w:trPr>
        <w:tc>
          <w:tcPr>
            <w:tcW w:w="675" w:type="dxa"/>
            <w:tcBorders>
              <w:left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c>
          <w:tcPr>
            <w:tcW w:w="5811" w:type="dxa"/>
            <w:gridSpan w:val="5"/>
            <w:tcBorders/>
            <w:shd w:fill="auto" w:val="clear"/>
          </w:tcPr>
          <w:p>
            <w:pPr>
              <w:pStyle w:val="Normal"/>
              <w:spacing w:before="120" w:after="120"/>
              <w:ind w:left="0" w:right="175" w:hanging="0"/>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89" w:type="dxa"/>
            <w:tcBorders>
              <w:left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2.</w:t>
              <w:tab/>
              <w:t>Experience/Qualifications/Training etc</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 minimum level 4 qualification in a relevant subject for example, Child Development, Health and Social Care</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Proven experience of complex case work with children, young people and families; understanding levels of risk/need and when the level escalates to a threshold that requires a referral to Social Care.</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 and 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Experience of undertaking accurate and sensitive assessments of Service Users, Carers and Families to produce Care/ Support Plans</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4.</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Experience of Child Protection Investigations, Child Protection Conference System or planning for Looked After Children.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5.</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Have comprehensive experience of and up to date knowledge of early help, safeguarding and statutory processes, legislation, guidance and best professional practice.</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6.</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Experience of outcomes focussed work.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7.</w:t>
            </w:r>
          </w:p>
        </w:tc>
        <w:tc>
          <w:tcPr>
            <w:tcW w:w="5759" w:type="dxa"/>
            <w:gridSpan w:val="3"/>
            <w:tcBorders>
              <w:top w:val="single" w:sz="4" w:space="0" w:color="000000"/>
              <w:bottom w:val="single" w:sz="4" w:space="0" w:color="000000"/>
            </w:tcBorders>
            <w:shd w:fill="auto" w:val="clear"/>
          </w:tcPr>
          <w:p>
            <w:pPr>
              <w:pStyle w:val="Normal"/>
              <w:spacing w:before="60" w:after="60"/>
              <w:rPr/>
            </w:pPr>
            <w:r>
              <w:rPr>
                <w:rFonts w:cs="Arial" w:ascii="Arial" w:hAnsi="Arial"/>
              </w:rPr>
              <w:t xml:space="preserve">Extensive operational experience of working with children, young people and families, in relation to delivering targeted interventions, therefore significant experience in children and family work is required.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8.</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Experience in supporting families following a comprehensive assessment of need, comprising a robust and inclusive SMART action plan and incorporating a process of regular multi-agency reviews.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9.</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Able to work with partner agencies, with proven experience of building effective working relationships.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3.</w:t>
              <w:tab/>
              <w:t>Work Related Circumstances</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This role requires the job holder to work outside of normal office hours, at evenings and weekends, to meet the needs of the service.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This post is subject to an enhanced disclosure from the Disclosure &amp; Barring Service with check of relevant barred list(s)</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trHeight w:val="653" w:hRule="atLeast"/>
        </w:trPr>
        <w:tc>
          <w:tcPr>
            <w:tcW w:w="1808" w:type="dxa"/>
            <w:gridSpan w:val="4"/>
            <w:tcBorders>
              <w:top w:val="single" w:sz="4" w:space="0" w:color="000000"/>
              <w:left w:val="single" w:sz="4" w:space="0" w:color="000000"/>
              <w:bottom w:val="single" w:sz="4" w:space="0" w:color="000000"/>
            </w:tcBorders>
            <w:shd w:fill="auto" w:val="clear"/>
          </w:tcPr>
          <w:p>
            <w:pPr>
              <w:pStyle w:val="Normal"/>
              <w:spacing w:before="0" w:after="200"/>
              <w:jc w:val="both"/>
              <w:rPr>
                <w:rFonts w:ascii="Arial" w:hAnsi="Arial" w:cs="Arial"/>
                <w:b/>
                <w:b/>
              </w:rPr>
            </w:pPr>
            <w:r>
              <w:rPr>
                <w:rFonts w:cs="Arial" w:ascii="Arial" w:hAnsi="Arial"/>
                <w:b/>
              </w:rPr>
              <w:t>STAGE TWO</w:t>
            </w:r>
          </w:p>
        </w:tc>
        <w:tc>
          <w:tcPr>
            <w:tcW w:w="826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both"/>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6"/>
            <w:tcBorders>
              <w:top w:val="single" w:sz="4" w:space="0" w:color="000000"/>
              <w:left w:val="single" w:sz="4" w:space="0" w:color="000000"/>
              <w:bottom w:val="single" w:sz="4" w:space="0" w:color="000000"/>
            </w:tcBorders>
            <w:shd w:fill="0C0C0C" w:val="clear"/>
          </w:tcPr>
          <w:p>
            <w:pPr>
              <w:pStyle w:val="Normal"/>
              <w:spacing w:before="120" w:after="120"/>
              <w:jc w:val="both"/>
              <w:rPr>
                <w:rFonts w:ascii="Arial" w:hAnsi="Arial" w:cs="Arial"/>
                <w:b/>
                <w:b/>
                <w:color w:val="FFFFFF"/>
              </w:rPr>
            </w:pPr>
            <w:r>
              <w:rPr>
                <w:rFonts w:cs="Arial" w:ascii="Arial" w:hAnsi="Arial"/>
                <w:b/>
                <w:color w:val="FFFFFF"/>
              </w:rPr>
              <w:t>Additional Requirements</w:t>
            </w:r>
          </w:p>
        </w:tc>
        <w:tc>
          <w:tcPr>
            <w:tcW w:w="3589" w:type="dxa"/>
            <w:tcBorders>
              <w:top w:val="single" w:sz="4" w:space="0" w:color="000000"/>
              <w:left w:val="single" w:sz="4" w:space="0" w:color="000000"/>
              <w:bottom w:val="single" w:sz="4" w:space="0" w:color="000000"/>
              <w:right w:val="single" w:sz="4" w:space="0" w:color="000000"/>
            </w:tcBorders>
            <w:shd w:fill="0C0C0C" w:val="clear"/>
          </w:tcPr>
          <w:p>
            <w:pPr>
              <w:pStyle w:val="Normal"/>
              <w:spacing w:before="120" w:after="120"/>
              <w:jc w:val="both"/>
              <w:rPr>
                <w:rFonts w:ascii="Arial" w:hAnsi="Arial" w:cs="Arial"/>
                <w:b/>
                <w:b/>
                <w:color w:val="FFFFFF"/>
              </w:rPr>
            </w:pPr>
            <w:r>
              <w:rPr>
                <w:rFonts w:cs="Arial" w:ascii="Arial" w:hAnsi="Arial"/>
                <w:b/>
                <w:color w:val="FFFFFF"/>
              </w:rPr>
              <w:t>Method of Assessment</w:t>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Experience of working within a Family Group Conferencing Service or referring into/attending Family Group Conferences.</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Completed Family Group Conference training and /or FGC accreditation.  </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Qualification and experience in delivering support utilising mediation approaches.</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w:t>
            </w:r>
          </w:p>
        </w:tc>
      </w:tr>
    </w:tbl>
    <w:p>
      <w:pPr>
        <w:pStyle w:val="Normal"/>
        <w:spacing w:lineRule="auto" w:line="240" w:before="0" w:after="0"/>
        <w:rPr>
          <w:rFonts w:ascii="Arial" w:hAnsi="Arial" w:cs="Arial"/>
          <w:b/>
          <w:b/>
        </w:rPr>
      </w:pPr>
      <w:r>
        <w:rPr>
          <w:rFonts w:cs="Arial" w:ascii="Arial" w:hAnsi="Arial"/>
          <w:b/>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 xml:space="preserve">Date Person Specification updated </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Oct 2025</w:t>
            </w:r>
          </w:p>
        </w:tc>
      </w:tr>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Nicola Murphy, Strategic Lead Targeted Early Help</w:t>
            </w:r>
          </w:p>
        </w:tc>
      </w:tr>
    </w:tbl>
    <w:p>
      <w:pPr>
        <w:pStyle w:val="Normal"/>
        <w:spacing w:lineRule="auto" w:line="240" w:before="0" w:after="0"/>
        <w:rPr>
          <w:rFonts w:ascii="Arial" w:hAnsi="Arial" w:cs="Arial"/>
          <w:b/>
          <w:b/>
        </w:rPr>
      </w:pPr>
      <w:r>
        <w:rPr>
          <w:rFonts w:cs="Arial" w:ascii="Arial" w:hAnsi="Arial"/>
          <w:b/>
        </w:rPr>
      </w:r>
    </w:p>
    <w:p>
      <w:pPr>
        <w:sectPr>
          <w:headerReference w:type="default" r:id="rId5"/>
          <w:footerReference w:type="default" r:id="rId6"/>
          <w:type w:val="nextPage"/>
          <w:pgSz w:w="11906" w:h="16838"/>
          <w:pgMar w:left="1134" w:right="1134" w:header="709" w:top="1361" w:footer="709" w:bottom="1134" w:gutter="0"/>
          <w:pgNumType w:fmt="decimal"/>
          <w:formProt w:val="false"/>
          <w:textDirection w:val="lrTb"/>
          <w:docGrid w:type="default" w:linePitch="360" w:charSpace="4096"/>
        </w:sect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sectPr>
          <w:headerReference w:type="default" r:id="rId7"/>
          <w:footerReference w:type="default" r:id="rId8"/>
          <w:type w:val="nextPage"/>
          <w:pgSz w:w="11906" w:h="16838"/>
          <w:pgMar w:left="1134" w:right="1134" w:header="709" w:top="1361" w:footer="709" w:bottom="1134" w:gutter="0"/>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9"/>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0"/>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1"/>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2"/>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3"/>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14"/>
      <w:footerReference w:type="default" r:id="rId15"/>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Mention">
    <w:name w:val="Mention"/>
    <w:basedOn w:val="DefaultParagraphFont"/>
    <w:qFormat/>
    <w:rPr>
      <w:color w:val="2B579A"/>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2025-11-03T15:24:00Z</dcterms:created>
  <dc:creator>Johnson, Andrew</dc:creator>
  <dc:description/>
  <dc:language>en-US</dc:language>
  <cp:lastModifiedBy>Wardle, Sharon</cp:lastModifiedBy>
  <cp:lastPrinted>1995-11-21T17:41:00Z</cp:lastPrinted>
  <dcterms:modified xsi:type="dcterms:W3CDTF">2025-12-19T16:13:00Z</dcterms:modified>
  <cp:revision>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11800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