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rFonts w:ascii="Arial" w:hAnsi="Arial" w:cs="Arial"/>
          <w:b/>
          <w:bCs/>
          <w:sz w:val="40"/>
          <w:szCs w:val="40"/>
        </w:rPr>
      </w:pPr>
      <w:r>
        <w:rPr>
          <w:rFonts w:eastAsia="Arial" w:cs="Arial" w:ascii="Arial" w:hAnsi="Arial"/>
          <w:b/>
          <w:bCs/>
          <w:sz w:val="40"/>
          <w:szCs w:val="40"/>
        </w:rPr>
        <w:t xml:space="preserve"> </w:t>
      </w:r>
      <w:r>
        <w:rPr>
          <w:rFonts w:cs="Arial" w:ascii="Arial" w:hAnsi="Arial"/>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CORPORATE RESOURCES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bCs/>
              </w:rPr>
            </w:pPr>
            <w:r>
              <w:rPr>
                <w:rFonts w:cs="Arial" w:ascii="Arial" w:hAnsi="Arial"/>
                <w:b/>
                <w:bCs/>
              </w:rPr>
              <w:t>Workforce Planning &amp; Insight Team Manager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Cs/>
              </w:rPr>
            </w:pPr>
            <w:r>
              <w:rPr>
                <w:rFonts w:cs="Arial" w:ascii="Arial" w:hAnsi="Arial"/>
                <w:bCs/>
              </w:rPr>
              <w:t>Grade J</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120" w:after="120"/>
              <w:rPr>
                <w:rFonts w:ascii="Arial" w:hAnsi="Arial" w:cs="Arial"/>
              </w:rPr>
            </w:pPr>
            <w:r>
              <w:rPr>
                <w:rFonts w:cs="Arial" w:ascii="Arial" w:hAnsi="Arial"/>
              </w:rPr>
              <w:t>To lead the Council's workforce planning, people insight and HR technology agenda, transforming how workforce data, digital solutions and emerging technologies are used to drive decision-making, improve services and shape the future workforce. The postholder will provide strategic workforce intelligence, drive innovation and digital transformation, and ensure the effective use of HR systems to support organisational priorities and workforce sustainability.</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12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120" w:after="120"/>
              <w:rPr>
                <w:rFonts w:ascii="Arial" w:hAnsi="Arial" w:cs="Arial"/>
              </w:rPr>
            </w:pPr>
            <w:r>
              <w:rPr>
                <w:rFonts w:cs="Arial" w:ascii="Arial" w:hAnsi="Arial"/>
              </w:rPr>
              <w:t>Head of Corporate HR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HR Workforce Planning and Insight Team</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27" w:type="dxa"/>
        <w:jc w:val="left"/>
        <w:tblInd w:w="108" w:type="dxa"/>
        <w:tblLayout w:type="fixed"/>
        <w:tblCellMar>
          <w:top w:w="0" w:type="dxa"/>
          <w:left w:w="108" w:type="dxa"/>
          <w:bottom w:w="0" w:type="dxa"/>
          <w:right w:w="108" w:type="dxa"/>
        </w:tblCellMar>
      </w:tblPr>
      <w:tblGrid>
        <w:gridCol w:w="562"/>
        <w:gridCol w:w="4005"/>
        <w:gridCol w:w="5060"/>
      </w:tblGrid>
      <w:tr>
        <w:trPr>
          <w:trHeight w:val="506" w:hRule="atLeast"/>
        </w:trPr>
        <w:tc>
          <w:tcPr>
            <w:tcW w:w="562" w:type="dxa"/>
            <w:tcBorders>
              <w:top w:val="single" w:sz="4" w:space="0" w:color="000000"/>
              <w:left w:val="single" w:sz="4" w:space="0" w:color="000000"/>
              <w:bottom w:val="single" w:sz="4" w:space="0" w:color="000000"/>
              <w:right w:val="single" w:sz="4" w:space="0" w:color="000000"/>
            </w:tcBorders>
          </w:tcPr>
          <w:p>
            <w:pPr>
              <w:pStyle w:val="Normal"/>
              <w:spacing w:lineRule="auto" w:line="240" w:before="72" w:after="48"/>
              <w:rPr>
                <w:rFonts w:ascii="Arial" w:hAnsi="Arial" w:cs="Arial"/>
                <w:b/>
              </w:rPr>
            </w:pPr>
            <w:r>
              <w:rPr>
                <w:rFonts w:cs="Arial" w:ascii="Arial" w:hAnsi="Arial"/>
                <w:b/>
              </w:rPr>
              <w:t>1</w:t>
            </w:r>
          </w:p>
        </w:tc>
        <w:tc>
          <w:tcPr>
            <w:tcW w:w="906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To lead the Council's workforce planning, people insight and HR technology agenda, transforming how workforce data, digital solutions and emerging technologies are used to drive decision-making, improve services and shape the future workforce.</w:t>
            </w:r>
          </w:p>
        </w:tc>
      </w:tr>
      <w:tr>
        <w:trPr>
          <w:trHeight w:val="506" w:hRule="atLeast"/>
        </w:trPr>
        <w:tc>
          <w:tcPr>
            <w:tcW w:w="562" w:type="dxa"/>
            <w:tcBorders>
              <w:top w:val="single" w:sz="4" w:space="0" w:color="000000"/>
              <w:left w:val="single" w:sz="4" w:space="0" w:color="000000"/>
              <w:bottom w:val="single" w:sz="4" w:space="0" w:color="000000"/>
              <w:right w:val="single" w:sz="4" w:space="0" w:color="000000"/>
            </w:tcBorders>
          </w:tcPr>
          <w:p>
            <w:pPr>
              <w:pStyle w:val="Normal"/>
              <w:spacing w:lineRule="auto" w:line="240" w:before="72" w:after="48"/>
              <w:rPr>
                <w:rFonts w:ascii="Arial" w:hAnsi="Arial" w:cs="Arial"/>
                <w:b/>
              </w:rPr>
            </w:pPr>
            <w:r>
              <w:rPr>
                <w:rFonts w:cs="Arial" w:ascii="Arial" w:hAnsi="Arial"/>
                <w:b/>
              </w:rPr>
              <w:t>2</w:t>
            </w:r>
          </w:p>
        </w:tc>
        <w:tc>
          <w:tcPr>
            <w:tcW w:w="906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lang w:eastAsia="en-GB"/>
              </w:rPr>
            </w:pPr>
            <w:r>
              <w:rPr>
                <w:rFonts w:cs="Arial" w:ascii="Arial" w:hAnsi="Arial"/>
                <w:lang w:eastAsia="en-GB"/>
              </w:rPr>
              <w:t>Lead the development of workforce planning intelligence, identifying future workforce trends, skills requirements, risks and opportunities to support long-term organisational sustainability.</w:t>
            </w:r>
          </w:p>
        </w:tc>
      </w:tr>
      <w:tr>
        <w:trPr>
          <w:trHeight w:val="506" w:hRule="atLeast"/>
        </w:trPr>
        <w:tc>
          <w:tcPr>
            <w:tcW w:w="562" w:type="dxa"/>
            <w:tcBorders>
              <w:top w:val="single" w:sz="4" w:space="0" w:color="000000"/>
              <w:left w:val="single" w:sz="4" w:space="0" w:color="000000"/>
              <w:bottom w:val="single" w:sz="4" w:space="0" w:color="000000"/>
              <w:right w:val="single" w:sz="4" w:space="0" w:color="000000"/>
            </w:tcBorders>
          </w:tcPr>
          <w:p>
            <w:pPr>
              <w:pStyle w:val="Normal"/>
              <w:spacing w:lineRule="auto" w:line="240" w:before="72" w:after="48"/>
              <w:rPr>
                <w:rFonts w:ascii="Arial" w:hAnsi="Arial" w:cs="Arial"/>
                <w:b/>
              </w:rPr>
            </w:pPr>
            <w:r>
              <w:rPr>
                <w:rFonts w:cs="Arial" w:ascii="Arial" w:hAnsi="Arial"/>
                <w:b/>
              </w:rPr>
              <w:t>3</w:t>
            </w:r>
          </w:p>
        </w:tc>
        <w:tc>
          <w:tcPr>
            <w:tcW w:w="906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lang w:eastAsia="en-GB"/>
              </w:rPr>
            </w:pPr>
            <w:r>
              <w:rPr>
                <w:rFonts w:cs="Arial" w:ascii="Arial" w:hAnsi="Arial"/>
                <w:lang w:eastAsia="en-GB"/>
              </w:rPr>
              <w:t>Provision of high-quality business intelligence and management information to inform decision-making and direction setting for the organisation.</w:t>
            </w:r>
          </w:p>
        </w:tc>
      </w:tr>
      <w:tr>
        <w:trPr>
          <w:trHeight w:val="506" w:hRule="atLeast"/>
        </w:trPr>
        <w:tc>
          <w:tcPr>
            <w:tcW w:w="562" w:type="dxa"/>
            <w:tcBorders>
              <w:top w:val="single" w:sz="4" w:space="0" w:color="000000"/>
              <w:left w:val="single" w:sz="4" w:space="0" w:color="000000"/>
              <w:bottom w:val="single" w:sz="4" w:space="0" w:color="000000"/>
              <w:right w:val="single" w:sz="4" w:space="0" w:color="000000"/>
            </w:tcBorders>
          </w:tcPr>
          <w:p>
            <w:pPr>
              <w:pStyle w:val="Normal"/>
              <w:spacing w:lineRule="auto" w:line="240" w:before="72" w:after="48"/>
              <w:rPr>
                <w:rFonts w:ascii="Arial" w:hAnsi="Arial" w:cs="Arial"/>
                <w:b/>
              </w:rPr>
            </w:pPr>
            <w:r>
              <w:rPr>
                <w:rFonts w:cs="Arial" w:ascii="Arial" w:hAnsi="Arial"/>
                <w:b/>
              </w:rPr>
              <w:t>4</w:t>
            </w:r>
          </w:p>
        </w:tc>
        <w:tc>
          <w:tcPr>
            <w:tcW w:w="9065"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522" w:leader="none"/>
              </w:tabs>
              <w:spacing w:lineRule="auto" w:line="240" w:before="72" w:after="48"/>
              <w:ind w:right="147"/>
              <w:rPr>
                <w:rFonts w:ascii="Arial" w:hAnsi="Arial" w:cs="Arial"/>
              </w:rPr>
            </w:pPr>
            <w:r>
              <w:rPr>
                <w:rFonts w:cs="Arial" w:ascii="Arial" w:hAnsi="Arial"/>
              </w:rPr>
              <w:t xml:space="preserve">Lead the Council's workforce planning and insight framework, using data analytics, forecasting and scenario planning to identify future workforce requirements, organisational risks and opportunities and inform workforce strategies and people plans. </w:t>
            </w:r>
          </w:p>
        </w:tc>
      </w:tr>
      <w:tr>
        <w:trPr>
          <w:trHeight w:val="506" w:hRule="atLeast"/>
        </w:trPr>
        <w:tc>
          <w:tcPr>
            <w:tcW w:w="562" w:type="dxa"/>
            <w:tcBorders>
              <w:top w:val="single" w:sz="4" w:space="0" w:color="000000"/>
              <w:left w:val="single" w:sz="4" w:space="0" w:color="000000"/>
              <w:bottom w:val="single" w:sz="4" w:space="0" w:color="000000"/>
              <w:right w:val="single" w:sz="4" w:space="0" w:color="000000"/>
            </w:tcBorders>
          </w:tcPr>
          <w:p>
            <w:pPr>
              <w:pStyle w:val="Normal"/>
              <w:spacing w:lineRule="auto" w:line="240" w:before="72" w:after="48"/>
              <w:rPr>
                <w:rFonts w:ascii="Arial" w:hAnsi="Arial" w:cs="Arial"/>
                <w:b/>
              </w:rPr>
            </w:pPr>
            <w:r>
              <w:rPr>
                <w:rFonts w:cs="Arial" w:ascii="Arial" w:hAnsi="Arial"/>
                <w:b/>
              </w:rPr>
              <w:t>5</w:t>
            </w:r>
          </w:p>
        </w:tc>
        <w:tc>
          <w:tcPr>
            <w:tcW w:w="9065"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522" w:leader="none"/>
              </w:tabs>
              <w:spacing w:lineRule="auto" w:line="240" w:before="72" w:after="48"/>
              <w:ind w:right="147"/>
              <w:rPr>
                <w:rFonts w:ascii="Arial" w:hAnsi="Arial" w:cs="Arial"/>
              </w:rPr>
            </w:pPr>
            <w:r>
              <w:rPr>
                <w:rFonts w:cs="Arial" w:ascii="Arial" w:hAnsi="Arial"/>
              </w:rPr>
              <w:t xml:space="preserve">Act as the Council's lead adviser on workforce intelligence and HR technology, providing high-quality insight, influencing senior leaders and supporting evidence-based organisational decision-making. </w:t>
            </w:r>
          </w:p>
        </w:tc>
      </w:tr>
      <w:tr>
        <w:trPr>
          <w:trHeight w:val="506" w:hRule="atLeast"/>
        </w:trPr>
        <w:tc>
          <w:tcPr>
            <w:tcW w:w="562" w:type="dxa"/>
            <w:tcBorders>
              <w:top w:val="single" w:sz="4" w:space="0" w:color="000000"/>
              <w:left w:val="single" w:sz="4" w:space="0" w:color="000000"/>
              <w:bottom w:val="single" w:sz="4" w:space="0" w:color="000000"/>
              <w:right w:val="single" w:sz="4" w:space="0" w:color="000000"/>
            </w:tcBorders>
          </w:tcPr>
          <w:p>
            <w:pPr>
              <w:pStyle w:val="Normal"/>
              <w:spacing w:lineRule="auto" w:line="240" w:before="72" w:after="48"/>
              <w:rPr>
                <w:rFonts w:ascii="Arial" w:hAnsi="Arial" w:cs="Arial"/>
                <w:b/>
              </w:rPr>
            </w:pPr>
            <w:r>
              <w:rPr>
                <w:rFonts w:cs="Arial" w:ascii="Arial" w:hAnsi="Arial"/>
                <w:b/>
              </w:rPr>
              <w:t>6</w:t>
            </w:r>
          </w:p>
        </w:tc>
        <w:tc>
          <w:tcPr>
            <w:tcW w:w="9065"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522" w:leader="none"/>
              </w:tabs>
              <w:spacing w:lineRule="auto" w:line="240" w:before="72" w:after="48"/>
              <w:ind w:right="147"/>
              <w:rPr>
                <w:rFonts w:ascii="Arial" w:hAnsi="Arial" w:cs="Arial"/>
              </w:rPr>
            </w:pPr>
            <w:r>
              <w:rPr>
                <w:rFonts w:cs="Arial" w:ascii="Arial" w:hAnsi="Arial"/>
              </w:rPr>
              <w:t>Drive innovation and digital transformation across HR systems and workforce planning, identifying opportunities to utilise automation, AI and emerging technologies to improve organisational performance, employee experience and service delivery.</w:t>
            </w:r>
          </w:p>
        </w:tc>
      </w:tr>
      <w:tr>
        <w:trPr>
          <w:trHeight w:val="506" w:hRule="atLeast"/>
        </w:trPr>
        <w:tc>
          <w:tcPr>
            <w:tcW w:w="562" w:type="dxa"/>
            <w:tcBorders>
              <w:top w:val="single" w:sz="4" w:space="0" w:color="000000"/>
              <w:left w:val="single" w:sz="4" w:space="0" w:color="000000"/>
              <w:bottom w:val="single" w:sz="4" w:space="0" w:color="000000"/>
              <w:right w:val="single" w:sz="4" w:space="0" w:color="000000"/>
            </w:tcBorders>
          </w:tcPr>
          <w:p>
            <w:pPr>
              <w:pStyle w:val="Normal"/>
              <w:spacing w:lineRule="auto" w:line="240" w:before="72" w:after="48"/>
              <w:rPr>
                <w:rFonts w:ascii="Arial" w:hAnsi="Arial" w:cs="Arial"/>
                <w:b/>
              </w:rPr>
            </w:pPr>
            <w:r>
              <w:rPr>
                <w:rFonts w:cs="Arial" w:ascii="Arial" w:hAnsi="Arial"/>
                <w:b/>
              </w:rPr>
              <w:t>7</w:t>
            </w:r>
          </w:p>
        </w:tc>
        <w:tc>
          <w:tcPr>
            <w:tcW w:w="9065"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522" w:leader="none"/>
              </w:tabs>
              <w:spacing w:lineRule="auto" w:line="240" w:before="72" w:after="48"/>
              <w:ind w:right="147"/>
              <w:rPr>
                <w:rFonts w:ascii="Arial" w:hAnsi="Arial" w:cs="Arial"/>
              </w:rPr>
            </w:pPr>
            <w:r>
              <w:rPr>
                <w:rFonts w:cs="Arial" w:ascii="Arial" w:hAnsi="Arial"/>
              </w:rPr>
              <w:t>Provide high-quality workforce insight, management information, dashboards and evidence-based recommendations to identify workforce risks, opportunities and future workforce requirements, ensuring accuracy, consistency and data integrity.</w:t>
            </w:r>
          </w:p>
        </w:tc>
      </w:tr>
      <w:tr>
        <w:trPr>
          <w:trHeight w:val="506" w:hRule="atLeast"/>
        </w:trPr>
        <w:tc>
          <w:tcPr>
            <w:tcW w:w="562" w:type="dxa"/>
            <w:tcBorders>
              <w:top w:val="single" w:sz="4" w:space="0" w:color="000000"/>
              <w:left w:val="single" w:sz="4" w:space="0" w:color="000000"/>
              <w:bottom w:val="single" w:sz="4" w:space="0" w:color="000000"/>
              <w:right w:val="single" w:sz="4" w:space="0" w:color="000000"/>
            </w:tcBorders>
          </w:tcPr>
          <w:p>
            <w:pPr>
              <w:pStyle w:val="Normal"/>
              <w:spacing w:lineRule="auto" w:line="240" w:before="72" w:after="48"/>
              <w:rPr>
                <w:rFonts w:ascii="Arial" w:hAnsi="Arial" w:cs="Arial"/>
                <w:b/>
              </w:rPr>
            </w:pPr>
            <w:r>
              <w:rPr>
                <w:rFonts w:cs="Arial" w:ascii="Arial" w:hAnsi="Arial"/>
                <w:b/>
              </w:rPr>
              <w:t>8</w:t>
            </w:r>
          </w:p>
        </w:tc>
        <w:tc>
          <w:tcPr>
            <w:tcW w:w="9065" w:type="dxa"/>
            <w:gridSpan w:val="2"/>
            <w:tcBorders>
              <w:top w:val="single" w:sz="4" w:space="0" w:color="000000"/>
              <w:left w:val="single" w:sz="4" w:space="0" w:color="000000"/>
              <w:bottom w:val="single" w:sz="4" w:space="0" w:color="000000"/>
              <w:right w:val="single" w:sz="4" w:space="0" w:color="000000"/>
            </w:tcBorders>
          </w:tcPr>
          <w:p>
            <w:pPr>
              <w:pStyle w:val="ListParagraph"/>
              <w:spacing w:lineRule="auto" w:line="240" w:before="72" w:after="48"/>
              <w:ind w:left="0" w:right="0"/>
              <w:contextualSpacing/>
              <w:rPr>
                <w:rFonts w:cs="Arial"/>
              </w:rPr>
            </w:pPr>
            <w:r>
              <w:rPr>
                <w:rFonts w:cs="Arial"/>
              </w:rPr>
              <w:t xml:space="preserve">Lead the effective use, development and continuous improvement of HR systems, processes and digital services, ensuring they remain fit for purpose, support organisational priorities and maximise opportunities for automation and self-service including self-service functionality, workflows and digital services, aligning with business needs and the People Plan. </w:t>
            </w:r>
          </w:p>
          <w:p>
            <w:pPr>
              <w:pStyle w:val="ListParagraph"/>
              <w:keepLines/>
              <w:numPr>
                <w:ilvl w:val="0"/>
                <w:numId w:val="1"/>
              </w:numPr>
              <w:spacing w:lineRule="auto" w:line="240" w:before="72" w:after="48"/>
              <w:contextualSpacing/>
              <w:rPr/>
            </w:pPr>
            <w:r>
              <w:rPr>
                <w:rFonts w:cs="Arial"/>
              </w:rPr>
              <w:t xml:space="preserve">Research &amp; identify best practice, recommending and leading developments to systems in response to, for example, changes in legislation, procedure, conditions of service or policy. </w:t>
            </w:r>
          </w:p>
          <w:p>
            <w:pPr>
              <w:pStyle w:val="ListParagraph"/>
              <w:keepLines/>
              <w:numPr>
                <w:ilvl w:val="0"/>
                <w:numId w:val="1"/>
              </w:numPr>
              <w:spacing w:lineRule="auto" w:line="240" w:before="72" w:after="48"/>
              <w:contextualSpacing/>
              <w:rPr/>
            </w:pPr>
            <w:r>
              <w:rPr>
                <w:rFonts w:cs="Arial"/>
              </w:rPr>
              <w:t>Identify opportunities to streamline existing processes</w:t>
            </w:r>
          </w:p>
          <w:p>
            <w:pPr>
              <w:pStyle w:val="ListParagraph"/>
              <w:keepLines/>
              <w:numPr>
                <w:ilvl w:val="0"/>
                <w:numId w:val="1"/>
              </w:numPr>
              <w:spacing w:lineRule="auto" w:line="240" w:before="72" w:after="48"/>
              <w:contextualSpacing/>
              <w:rPr/>
            </w:pPr>
            <w:r>
              <w:rPr>
                <w:rFonts w:cs="Arial"/>
              </w:rPr>
              <w:t>Work closely with others including Payroll, ICT and departmental users to ensure systems meet business requirements</w:t>
            </w:r>
          </w:p>
          <w:p>
            <w:pPr>
              <w:pStyle w:val="ListParagraph"/>
              <w:keepLines/>
              <w:numPr>
                <w:ilvl w:val="0"/>
                <w:numId w:val="1"/>
              </w:numPr>
              <w:spacing w:lineRule="auto" w:line="240" w:before="72" w:after="48"/>
              <w:contextualSpacing/>
              <w:rPr>
                <w:rFonts w:cs="Arial"/>
              </w:rPr>
            </w:pPr>
            <w:r>
              <w:rPr>
                <w:rFonts w:cs="Arial"/>
              </w:rPr>
              <w:t>Lead and deliver complex workforce data, systems and digital transformation projects, ensuring successful implementation and measurable business benefits.</w:t>
            </w:r>
          </w:p>
        </w:tc>
      </w:tr>
      <w:tr>
        <w:trPr>
          <w:trHeight w:val="506" w:hRule="atLeast"/>
        </w:trPr>
        <w:tc>
          <w:tcPr>
            <w:tcW w:w="562" w:type="dxa"/>
            <w:tcBorders>
              <w:top w:val="single" w:sz="4" w:space="0" w:color="000000"/>
              <w:left w:val="single" w:sz="4" w:space="0" w:color="000000"/>
              <w:bottom w:val="single" w:sz="4" w:space="0" w:color="000000"/>
              <w:right w:val="single" w:sz="4" w:space="0" w:color="000000"/>
            </w:tcBorders>
          </w:tcPr>
          <w:p>
            <w:pPr>
              <w:pStyle w:val="Normal"/>
              <w:spacing w:lineRule="auto" w:line="240" w:before="72" w:after="48"/>
              <w:rPr>
                <w:rFonts w:ascii="Arial" w:hAnsi="Arial" w:cs="Arial"/>
                <w:b/>
              </w:rPr>
            </w:pPr>
            <w:r>
              <w:rPr>
                <w:rFonts w:cs="Arial" w:ascii="Arial" w:hAnsi="Arial"/>
                <w:b/>
              </w:rPr>
              <w:t>9</w:t>
            </w:r>
          </w:p>
        </w:tc>
        <w:tc>
          <w:tcPr>
            <w:tcW w:w="906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72" w:after="48"/>
              <w:rPr>
                <w:rFonts w:ascii="Arial" w:hAnsi="Arial" w:eastAsia="Calibri" w:cs="Arial"/>
              </w:rPr>
            </w:pPr>
            <w:r>
              <w:rPr>
                <w:rFonts w:eastAsia="Calibri" w:cs="Arial" w:ascii="Arial" w:hAnsi="Arial"/>
              </w:rPr>
              <w:t>Lead and deliver HR systems projects, including implementation, testing and rollout of upgrades, patches and new applications</w:t>
            </w:r>
          </w:p>
        </w:tc>
      </w:tr>
      <w:tr>
        <w:trPr>
          <w:trHeight w:val="506" w:hRule="atLeast"/>
        </w:trPr>
        <w:tc>
          <w:tcPr>
            <w:tcW w:w="562" w:type="dxa"/>
            <w:tcBorders>
              <w:top w:val="single" w:sz="4" w:space="0" w:color="000000"/>
              <w:left w:val="single" w:sz="4" w:space="0" w:color="000000"/>
              <w:bottom w:val="single" w:sz="4" w:space="0" w:color="000000"/>
              <w:right w:val="single" w:sz="4" w:space="0" w:color="000000"/>
            </w:tcBorders>
          </w:tcPr>
          <w:p>
            <w:pPr>
              <w:pStyle w:val="Normal"/>
              <w:spacing w:lineRule="auto" w:line="240" w:before="72" w:after="48"/>
              <w:rPr>
                <w:rFonts w:ascii="Arial" w:hAnsi="Arial" w:cs="Arial"/>
                <w:b/>
              </w:rPr>
            </w:pPr>
            <w:r>
              <w:rPr>
                <w:rFonts w:cs="Arial" w:ascii="Arial" w:hAnsi="Arial"/>
                <w:b/>
              </w:rPr>
              <w:t>10</w:t>
            </w:r>
          </w:p>
        </w:tc>
        <w:tc>
          <w:tcPr>
            <w:tcW w:w="906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72" w:after="48"/>
              <w:rPr/>
            </w:pPr>
            <w:r>
              <w:rPr>
                <w:rFonts w:cs="Arial" w:ascii="Arial" w:hAnsi="Arial"/>
              </w:rPr>
              <w:t xml:space="preserve">Ensure timely and accurate completion of statutory returns, benchmarking and information requests (e.g. TUPE, FOI, SAR, Children’s Social Care Workforce census / National Minimum Data Sets and Office of National Statistical Surveys), maintaining </w:t>
            </w:r>
            <w:r>
              <w:rPr>
                <w:rFonts w:cs="Arial" w:ascii="Arial" w:hAnsi="Arial"/>
                <w:bCs/>
              </w:rPr>
              <w:t>full compliance with legal requirements</w:t>
            </w:r>
            <w:r>
              <w:rPr>
                <w:rFonts w:cs="Arial" w:ascii="Arial" w:hAnsi="Arial"/>
              </w:rPr>
              <w:t>.</w:t>
            </w:r>
          </w:p>
        </w:tc>
      </w:tr>
      <w:tr>
        <w:trPr>
          <w:trHeight w:val="506" w:hRule="atLeast"/>
        </w:trPr>
        <w:tc>
          <w:tcPr>
            <w:tcW w:w="562" w:type="dxa"/>
            <w:tcBorders>
              <w:top w:val="single" w:sz="4" w:space="0" w:color="000000"/>
              <w:left w:val="single" w:sz="4" w:space="0" w:color="000000"/>
              <w:bottom w:val="single" w:sz="4" w:space="0" w:color="000000"/>
              <w:right w:val="single" w:sz="4" w:space="0" w:color="000000"/>
            </w:tcBorders>
          </w:tcPr>
          <w:p>
            <w:pPr>
              <w:pStyle w:val="Normal"/>
              <w:spacing w:lineRule="auto" w:line="240" w:before="72" w:after="48"/>
              <w:rPr>
                <w:rFonts w:ascii="Arial" w:hAnsi="Arial" w:cs="Arial"/>
                <w:b/>
              </w:rPr>
            </w:pPr>
            <w:r>
              <w:rPr>
                <w:rFonts w:cs="Arial" w:ascii="Arial" w:hAnsi="Arial"/>
                <w:b/>
              </w:rPr>
              <w:t>11</w:t>
            </w:r>
          </w:p>
        </w:tc>
        <w:tc>
          <w:tcPr>
            <w:tcW w:w="906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72" w:after="48"/>
              <w:rPr>
                <w:rFonts w:ascii="Arial" w:hAnsi="Arial" w:cs="Arial"/>
              </w:rPr>
            </w:pPr>
            <w:r>
              <w:rPr>
                <w:rFonts w:cs="Arial" w:ascii="Arial" w:hAnsi="Arial"/>
              </w:rPr>
              <w:t>Lead the Council's workforce data governance, compliance and assurance framework, ensuring adherence to relevant legislation, regulatory requirements, statutory reporting obligations and organisational policies, whilst maintaining effective monitoring, quality assurance and risk management arrangements.</w:t>
            </w:r>
          </w:p>
        </w:tc>
      </w:tr>
      <w:tr>
        <w:trPr>
          <w:trHeight w:val="506" w:hRule="atLeast"/>
        </w:trPr>
        <w:tc>
          <w:tcPr>
            <w:tcW w:w="562" w:type="dxa"/>
            <w:tcBorders>
              <w:top w:val="single" w:sz="4" w:space="0" w:color="000000"/>
              <w:left w:val="single" w:sz="4" w:space="0" w:color="000000"/>
              <w:bottom w:val="single" w:sz="4" w:space="0" w:color="000000"/>
              <w:right w:val="single" w:sz="4" w:space="0" w:color="000000"/>
            </w:tcBorders>
          </w:tcPr>
          <w:p>
            <w:pPr>
              <w:pStyle w:val="Normal"/>
              <w:spacing w:lineRule="auto" w:line="240" w:before="72" w:after="48"/>
              <w:rPr>
                <w:rFonts w:ascii="Arial" w:hAnsi="Arial" w:cs="Arial"/>
                <w:b/>
              </w:rPr>
            </w:pPr>
            <w:r>
              <w:rPr>
                <w:rFonts w:cs="Arial" w:ascii="Arial" w:hAnsi="Arial"/>
                <w:b/>
              </w:rPr>
              <w:t>12</w:t>
            </w:r>
          </w:p>
        </w:tc>
        <w:tc>
          <w:tcPr>
            <w:tcW w:w="906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72" w:after="48"/>
              <w:rPr>
                <w:rFonts w:ascii="Arial" w:hAnsi="Arial" w:cs="Arial"/>
              </w:rPr>
            </w:pPr>
            <w:r>
              <w:rPr>
                <w:rFonts w:cs="Arial" w:ascii="Arial" w:hAnsi="Arial"/>
              </w:rPr>
              <w:t xml:space="preserve">Manage the HR Data Team to ensure high performance, effective service delivery, knowledge sharing and continuous professional development. </w:t>
            </w:r>
          </w:p>
        </w:tc>
      </w:tr>
      <w:tr>
        <w:trPr>
          <w:trHeight w:val="506" w:hRule="atLeast"/>
        </w:trPr>
        <w:tc>
          <w:tcPr>
            <w:tcW w:w="562" w:type="dxa"/>
            <w:tcBorders>
              <w:top w:val="single" w:sz="4" w:space="0" w:color="000000"/>
              <w:left w:val="single" w:sz="4" w:space="0" w:color="000000"/>
              <w:bottom w:val="single" w:sz="4" w:space="0" w:color="000000"/>
              <w:right w:val="single" w:sz="4" w:space="0" w:color="000000"/>
            </w:tcBorders>
          </w:tcPr>
          <w:p>
            <w:pPr>
              <w:pStyle w:val="Normal"/>
              <w:spacing w:lineRule="auto" w:line="240" w:before="72" w:after="48"/>
              <w:rPr>
                <w:rFonts w:ascii="Arial" w:hAnsi="Arial" w:cs="Arial"/>
                <w:b/>
              </w:rPr>
            </w:pPr>
            <w:r>
              <w:rPr>
                <w:rFonts w:cs="Arial" w:ascii="Arial" w:hAnsi="Arial"/>
                <w:b/>
              </w:rPr>
              <w:t>13</w:t>
            </w:r>
          </w:p>
        </w:tc>
        <w:tc>
          <w:tcPr>
            <w:tcW w:w="906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rFonts w:ascii="Arial" w:hAnsi="Arial" w:cs="Arial"/>
              </w:rPr>
            </w:pPr>
            <w:r>
              <w:rPr>
                <w:rFonts w:cs="Arial" w:ascii="Arial" w:hAnsi="Arial"/>
              </w:rPr>
              <w:t>Contribute proactively to Corporate HR and organisational initiatives, supporting transformation programmes and deputising for more senior members of the team as and when required.</w:t>
            </w:r>
          </w:p>
        </w:tc>
      </w:tr>
      <w:tr>
        <w:trPr>
          <w:trHeight w:val="506" w:hRule="atLeast"/>
        </w:trPr>
        <w:tc>
          <w:tcPr>
            <w:tcW w:w="562" w:type="dxa"/>
            <w:tcBorders>
              <w:top w:val="single" w:sz="4" w:space="0" w:color="000000"/>
              <w:left w:val="single" w:sz="4" w:space="0" w:color="000000"/>
              <w:bottom w:val="single" w:sz="4" w:space="0" w:color="000000"/>
              <w:right w:val="single" w:sz="4" w:space="0" w:color="000000"/>
            </w:tcBorders>
          </w:tcPr>
          <w:p>
            <w:pPr>
              <w:pStyle w:val="Normal"/>
              <w:spacing w:lineRule="auto" w:line="240" w:before="72" w:after="48"/>
              <w:rPr>
                <w:rFonts w:ascii="Arial" w:hAnsi="Arial" w:cs="Arial"/>
                <w:b/>
              </w:rPr>
            </w:pPr>
            <w:r>
              <w:rPr>
                <w:rFonts w:cs="Arial" w:ascii="Arial" w:hAnsi="Arial"/>
                <w:b/>
              </w:rPr>
              <w:t>14</w:t>
            </w:r>
          </w:p>
        </w:tc>
        <w:tc>
          <w:tcPr>
            <w:tcW w:w="906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72" w:after="48"/>
              <w:rPr/>
            </w:pPr>
            <w:r>
              <w:rPr>
                <w:rFonts w:eastAsia="Calibri" w:cs="Arial" w:ascii="Arial" w:hAnsi="Arial"/>
              </w:rPr>
              <w:t>Such other duties as may be determined from time to time as are consistent with the objectives of the post.</w:t>
            </w:r>
            <w:r>
              <w:rPr>
                <w:rFonts w:cs="Arial" w:ascii="Arial" w:hAnsi="Arial"/>
              </w:rPr>
              <w:t>  </w:t>
            </w:r>
          </w:p>
        </w:tc>
      </w:tr>
      <w:tr>
        <w:trPr/>
        <w:tc>
          <w:tcPr>
            <w:tcW w:w="4567"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80" w:after="80"/>
              <w:rPr>
                <w:rFonts w:ascii="Arial" w:hAnsi="Arial" w:cs="Arial"/>
                <w:b/>
              </w:rPr>
            </w:pPr>
            <w:r>
              <w:rPr>
                <w:rFonts w:cs="Arial" w:ascii="Arial" w:hAnsi="Arial"/>
                <w:b/>
              </w:rPr>
              <w:t>Date Job Description prepared/updated:</w:t>
            </w:r>
          </w:p>
        </w:tc>
        <w:tc>
          <w:tcPr>
            <w:tcW w:w="5060" w:type="dxa"/>
            <w:tcBorders>
              <w:top w:val="single" w:sz="4" w:space="0" w:color="000000"/>
              <w:left w:val="single" w:sz="4" w:space="0" w:color="000000"/>
              <w:bottom w:val="single" w:sz="4" w:space="0" w:color="000000"/>
              <w:right w:val="single" w:sz="4" w:space="0" w:color="000000"/>
            </w:tcBorders>
          </w:tcPr>
          <w:p>
            <w:pPr>
              <w:pStyle w:val="Normal"/>
              <w:spacing w:lineRule="auto" w:line="240" w:before="80" w:after="80"/>
              <w:rPr>
                <w:rFonts w:ascii="Arial" w:hAnsi="Arial" w:cs="Arial"/>
                <w:b/>
              </w:rPr>
            </w:pPr>
            <w:r>
              <w:rPr>
                <w:rFonts w:cs="Arial" w:ascii="Arial" w:hAnsi="Arial"/>
                <w:b/>
              </w:rPr>
              <w:t>September 2026</w:t>
            </w:r>
          </w:p>
        </w:tc>
      </w:tr>
      <w:tr>
        <w:trPr/>
        <w:tc>
          <w:tcPr>
            <w:tcW w:w="4567"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80" w:after="80"/>
              <w:rPr>
                <w:rFonts w:ascii="Arial" w:hAnsi="Arial" w:cs="Arial"/>
                <w:b/>
              </w:rPr>
            </w:pPr>
            <w:r>
              <w:rPr>
                <w:rFonts w:cs="Arial" w:ascii="Arial" w:hAnsi="Arial"/>
                <w:b/>
              </w:rPr>
              <w:t>Job Description prepared by:</w:t>
            </w:r>
          </w:p>
        </w:tc>
        <w:tc>
          <w:tcPr>
            <w:tcW w:w="5060" w:type="dxa"/>
            <w:tcBorders>
              <w:top w:val="single" w:sz="4" w:space="0" w:color="000000"/>
              <w:left w:val="single" w:sz="4" w:space="0" w:color="000000"/>
              <w:bottom w:val="single" w:sz="4" w:space="0" w:color="000000"/>
              <w:right w:val="single" w:sz="4" w:space="0" w:color="000000"/>
            </w:tcBorders>
          </w:tcPr>
          <w:p>
            <w:pPr>
              <w:pStyle w:val="Normal"/>
              <w:spacing w:lineRule="auto" w:line="240" w:before="80" w:after="80"/>
              <w:rPr>
                <w:rFonts w:ascii="Arial" w:hAnsi="Arial" w:cs="Arial"/>
                <w:b/>
              </w:rPr>
            </w:pPr>
            <w:r>
              <w:rPr>
                <w:rFonts w:cs="Arial" w:ascii="Arial" w:hAnsi="Arial"/>
                <w:b/>
              </w:rPr>
              <w:t>Head of Corporate HR</w:t>
            </w:r>
          </w:p>
        </w:tc>
      </w:tr>
    </w:tbl>
    <w:p>
      <w:pPr>
        <w:pStyle w:val="Normal"/>
        <w:rPr>
          <w:b/>
          <w:bCs/>
          <w:sz w:val="40"/>
          <w:szCs w:val="40"/>
        </w:rPr>
      </w:pPr>
      <w:r>
        <w:rPr>
          <w:b/>
          <w:bCs/>
          <w:sz w:val="40"/>
          <w:szCs w:val="40"/>
        </w:rPr>
      </w:r>
    </w:p>
    <w:p>
      <w:pPr>
        <w:pStyle w:val="Normal"/>
        <w:spacing w:lineRule="auto" w:line="256" w:before="0" w:after="160"/>
        <w:rPr>
          <w:b/>
          <w:bCs/>
          <w:sz w:val="40"/>
          <w:szCs w:val="40"/>
        </w:rPr>
      </w:pPr>
      <w:r>
        <w:rPr>
          <w:b/>
          <w:bCs/>
          <w:sz w:val="40"/>
          <w:szCs w:val="40"/>
        </w:rPr>
      </w:r>
      <w:r>
        <w:br w:type="page"/>
      </w:r>
    </w:p>
    <w:p>
      <w:pPr>
        <w:pStyle w:val="Normal"/>
        <w:rPr>
          <w:b/>
          <w:bCs/>
          <w:sz w:val="40"/>
          <w:szCs w:val="40"/>
        </w:rPr>
      </w:pPr>
      <w:r>
        <w:rPr>
          <w:b/>
          <w:bCs/>
          <w:sz w:val="40"/>
          <w:szCs w:val="40"/>
        </w:rPr>
        <w:t>Person Specification</w:t>
      </w:r>
    </w:p>
    <w:tbl>
      <w:tblPr>
        <w:tblW w:w="10065" w:type="dxa"/>
        <w:jc w:val="left"/>
        <w:tblInd w:w="108" w:type="dxa"/>
        <w:tblLayout w:type="fixed"/>
        <w:tblCellMar>
          <w:top w:w="0" w:type="dxa"/>
          <w:left w:w="108" w:type="dxa"/>
          <w:bottom w:w="0" w:type="dxa"/>
          <w:right w:w="108" w:type="dxa"/>
        </w:tblCellMar>
      </w:tblPr>
      <w:tblGrid>
        <w:gridCol w:w="566"/>
        <w:gridCol w:w="1101"/>
        <w:gridCol w:w="5703"/>
        <w:gridCol w:w="2695"/>
      </w:tblGrid>
      <w:tr>
        <w:trPr/>
        <w:tc>
          <w:tcPr>
            <w:tcW w:w="1667" w:type="dxa"/>
            <w:gridSpan w:val="2"/>
            <w:tcBorders/>
          </w:tcPr>
          <w:p>
            <w:pPr>
              <w:pStyle w:val="Normal"/>
              <w:spacing w:before="60" w:after="60"/>
              <w:rPr>
                <w:rFonts w:ascii="Arial" w:hAnsi="Arial" w:cs="Arial"/>
                <w:b/>
              </w:rPr>
            </w:pPr>
            <w:r>
              <w:rPr>
                <w:rFonts w:cs="Arial" w:ascii="Arial" w:hAnsi="Arial"/>
                <w:b/>
              </w:rPr>
              <w:t>Department</w:t>
            </w:r>
          </w:p>
        </w:tc>
        <w:tc>
          <w:tcPr>
            <w:tcW w:w="8398" w:type="dxa"/>
            <w:gridSpan w:val="2"/>
            <w:tcBorders/>
          </w:tcPr>
          <w:p>
            <w:pPr>
              <w:pStyle w:val="Normal"/>
              <w:spacing w:before="60" w:after="60"/>
              <w:rPr>
                <w:rFonts w:ascii="Arial" w:hAnsi="Arial" w:cs="Arial"/>
                <w:b/>
                <w:caps/>
              </w:rPr>
            </w:pPr>
            <w:r>
              <w:rPr>
                <w:rFonts w:cs="Arial" w:ascii="Arial" w:hAnsi="Arial"/>
                <w:b/>
                <w:caps/>
              </w:rPr>
              <w:t>CORPORATE RESOURCES</w:t>
            </w:r>
          </w:p>
        </w:tc>
      </w:tr>
      <w:tr>
        <w:trPr/>
        <w:tc>
          <w:tcPr>
            <w:tcW w:w="1667" w:type="dxa"/>
            <w:gridSpan w:val="2"/>
            <w:tcBorders>
              <w:bottom w:val="single" w:sz="4" w:space="0" w:color="000000"/>
            </w:tcBorders>
          </w:tcPr>
          <w:p>
            <w:pPr>
              <w:pStyle w:val="Normal"/>
              <w:spacing w:before="60" w:after="240"/>
              <w:rPr>
                <w:rFonts w:ascii="Arial" w:hAnsi="Arial" w:cs="Arial"/>
                <w:b/>
              </w:rPr>
            </w:pPr>
            <w:r>
              <w:rPr>
                <w:rFonts w:cs="Arial" w:ascii="Arial" w:hAnsi="Arial"/>
                <w:b/>
              </w:rPr>
              <w:t>Job Title</w:t>
            </w:r>
          </w:p>
        </w:tc>
        <w:tc>
          <w:tcPr>
            <w:tcW w:w="8398" w:type="dxa"/>
            <w:gridSpan w:val="2"/>
            <w:tcBorders>
              <w:bottom w:val="single" w:sz="4" w:space="0" w:color="000000"/>
            </w:tcBorders>
          </w:tcPr>
          <w:p>
            <w:pPr>
              <w:pStyle w:val="Normal"/>
              <w:spacing w:before="60" w:after="60"/>
              <w:rPr>
                <w:rFonts w:ascii="Arial" w:hAnsi="Arial" w:cs="Arial"/>
                <w:b/>
                <w:bCs/>
              </w:rPr>
            </w:pPr>
            <w:r>
              <w:rPr>
                <w:rFonts w:cs="Arial" w:ascii="Arial" w:hAnsi="Arial"/>
                <w:b/>
                <w:bCs/>
              </w:rPr>
              <w:t>Workforce Planning &amp; Insight Team Manager</w:t>
            </w:r>
          </w:p>
        </w:tc>
      </w:tr>
      <w:tr>
        <w:trPr/>
        <w:tc>
          <w:tcPr>
            <w:tcW w:w="166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240"/>
              <w:rPr>
                <w:rFonts w:ascii="Arial" w:hAnsi="Arial" w:cs="Arial"/>
                <w:b/>
              </w:rPr>
            </w:pPr>
            <w:r>
              <w:rPr>
                <w:rFonts w:cs="Arial" w:ascii="Arial" w:hAnsi="Arial"/>
                <w:b/>
              </w:rPr>
              <w:t>Stage One</w:t>
            </w:r>
          </w:p>
        </w:tc>
        <w:tc>
          <w:tcPr>
            <w:tcW w:w="8398"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7370" w:type="dxa"/>
            <w:gridSpan w:val="3"/>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The Minimum Essential Requirements for the above Post are as Follows:</w:t>
            </w:r>
          </w:p>
        </w:tc>
        <w:tc>
          <w:tcPr>
            <w:tcW w:w="2695"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Method of Assessment</w:t>
            </w:r>
          </w:p>
        </w:tc>
      </w:tr>
      <w:tr>
        <w:trPr>
          <w:cantSplit w:val="true"/>
        </w:trPr>
        <w:tc>
          <w:tcPr>
            <w:tcW w:w="566" w:type="dxa"/>
            <w:tcBorders>
              <w:bottom w:val="single" w:sz="4" w:space="0" w:color="000000"/>
            </w:tcBorders>
            <w:shd w:fill="D9D9D9" w:val="clear"/>
          </w:tcPr>
          <w:p>
            <w:pPr>
              <w:pStyle w:val="Normal"/>
              <w:spacing w:before="60" w:after="60"/>
              <w:rPr>
                <w:rFonts w:ascii="Arial" w:hAnsi="Arial" w:cs="Arial"/>
                <w:b/>
              </w:rPr>
            </w:pPr>
            <w:r>
              <w:rPr>
                <w:rFonts w:cs="Arial" w:ascii="Arial" w:hAnsi="Arial"/>
                <w:b/>
              </w:rPr>
              <w:t>1.</w:t>
            </w:r>
          </w:p>
        </w:tc>
        <w:tc>
          <w:tcPr>
            <w:tcW w:w="9499" w:type="dxa"/>
            <w:gridSpan w:val="3"/>
            <w:tcBorders>
              <w:bottom w:val="single" w:sz="4" w:space="0" w:color="000000"/>
            </w:tcBorders>
            <w:shd w:fill="D9D9D9" w:val="clear"/>
          </w:tcPr>
          <w:p>
            <w:pPr>
              <w:pStyle w:val="Normal"/>
              <w:spacing w:before="60" w:after="60"/>
              <w:rPr>
                <w:rFonts w:ascii="Arial" w:hAnsi="Arial" w:cs="Arial"/>
                <w:b/>
              </w:rPr>
            </w:pPr>
            <w:r>
              <w:rPr>
                <w:rFonts w:cs="Arial" w:ascii="Arial" w:hAnsi="Arial"/>
                <w:b/>
              </w:rPr>
              <w:t>Skills and Knowledge</w:t>
            </w:r>
          </w:p>
        </w:tc>
      </w:tr>
      <w:tr>
        <w:trPr>
          <w:cantSplit w:val="true"/>
        </w:trPr>
        <w:tc>
          <w:tcPr>
            <w:tcW w:w="566"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1.</w:t>
            </w:r>
          </w:p>
        </w:tc>
        <w:tc>
          <w:tcPr>
            <w:tcW w:w="6804" w:type="dxa"/>
            <w:gridSpan w:val="2"/>
            <w:tcBorders>
              <w:top w:val="single" w:sz="4" w:space="0" w:color="000000"/>
              <w:bottom w:val="single" w:sz="4" w:space="0" w:color="000000"/>
            </w:tcBorders>
          </w:tcPr>
          <w:p>
            <w:pPr>
              <w:pStyle w:val="Normal"/>
              <w:spacing w:lineRule="auto" w:line="264" w:before="80" w:after="40"/>
              <w:ind w:right="175"/>
              <w:rPr>
                <w:rFonts w:ascii="Arial" w:hAnsi="Arial" w:cs="Arial"/>
              </w:rPr>
            </w:pPr>
            <w:r>
              <w:rPr>
                <w:rFonts w:cs="Arial" w:ascii="Arial" w:hAnsi="Arial"/>
              </w:rPr>
              <w:t>Exceptional communication, presentation and influencing skills, with the ability to translate complex workforce data into compelling narratives and evidence-based recommendations that inform strategic decision-making.</w:t>
            </w:r>
          </w:p>
        </w:tc>
        <w:tc>
          <w:tcPr>
            <w:tcW w:w="2695"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 xml:space="preserve">Application / Interview </w:t>
            </w:r>
          </w:p>
        </w:tc>
      </w:tr>
      <w:tr>
        <w:trPr>
          <w:cantSplit w:val="true"/>
        </w:trPr>
        <w:tc>
          <w:tcPr>
            <w:tcW w:w="566"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3.</w:t>
            </w:r>
          </w:p>
        </w:tc>
        <w:tc>
          <w:tcPr>
            <w:tcW w:w="6804" w:type="dxa"/>
            <w:gridSpan w:val="2"/>
            <w:tcBorders>
              <w:top w:val="single" w:sz="4" w:space="0" w:color="000000"/>
              <w:bottom w:val="single" w:sz="4" w:space="0" w:color="000000"/>
            </w:tcBorders>
          </w:tcPr>
          <w:p>
            <w:pPr>
              <w:pStyle w:val="Normal"/>
              <w:spacing w:lineRule="auto" w:line="264" w:before="80" w:after="40"/>
              <w:ind w:right="175"/>
              <w:rPr>
                <w:rFonts w:ascii="Arial" w:hAnsi="Arial" w:eastAsia="Calibri" w:cs="Arial"/>
              </w:rPr>
            </w:pPr>
            <w:r>
              <w:rPr>
                <w:rFonts w:eastAsia="Calibri" w:cs="Arial" w:ascii="Arial" w:hAnsi="Arial"/>
              </w:rPr>
              <w:t>Strong understanding of data governance, GDPR information management principles.</w:t>
            </w:r>
          </w:p>
        </w:tc>
        <w:tc>
          <w:tcPr>
            <w:tcW w:w="2695"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Assessment</w:t>
            </w:r>
          </w:p>
        </w:tc>
      </w:tr>
      <w:tr>
        <w:trPr>
          <w:cantSplit w:val="true"/>
        </w:trPr>
        <w:tc>
          <w:tcPr>
            <w:tcW w:w="566" w:type="dxa"/>
            <w:tcBorders>
              <w:bottom w:val="single" w:sz="4" w:space="0" w:color="000000"/>
            </w:tcBorders>
          </w:tcPr>
          <w:p>
            <w:pPr>
              <w:pStyle w:val="Normal"/>
              <w:spacing w:lineRule="auto" w:line="264" w:before="80" w:after="40"/>
              <w:rPr>
                <w:rFonts w:ascii="Arial" w:hAnsi="Arial" w:cs="Arial"/>
              </w:rPr>
            </w:pPr>
            <w:r>
              <w:rPr>
                <w:rFonts w:cs="Arial" w:ascii="Arial" w:hAnsi="Arial"/>
              </w:rPr>
              <w:t>4.</w:t>
            </w:r>
          </w:p>
        </w:tc>
        <w:tc>
          <w:tcPr>
            <w:tcW w:w="6804" w:type="dxa"/>
            <w:gridSpan w:val="2"/>
            <w:tcBorders>
              <w:bottom w:val="single" w:sz="4" w:space="0" w:color="000000"/>
            </w:tcBorders>
          </w:tcPr>
          <w:p>
            <w:pPr>
              <w:pStyle w:val="Normal"/>
              <w:spacing w:lineRule="auto" w:line="264" w:before="80" w:after="40"/>
              <w:ind w:right="175"/>
              <w:rPr>
                <w:rFonts w:ascii="Arial" w:hAnsi="Arial" w:eastAsia="Calibri" w:cs="Arial"/>
              </w:rPr>
            </w:pPr>
            <w:r>
              <w:rPr>
                <w:rFonts w:eastAsia="Calibri" w:cs="Arial" w:ascii="Arial" w:hAnsi="Arial"/>
              </w:rPr>
              <w:t>Advanced analytical, data visualisation and workforce analytics skills, with excellent knowledge of HR systems and high competence in Microsoft Office applications (particularly Excel and Power BI), enabling the interpretation and presentation of complex workforce data.</w:t>
            </w:r>
          </w:p>
        </w:tc>
        <w:tc>
          <w:tcPr>
            <w:tcW w:w="2695" w:type="dxa"/>
            <w:tcBorders>
              <w:bottom w:val="single" w:sz="4" w:space="0" w:color="000000"/>
            </w:tcBorders>
          </w:tcPr>
          <w:p>
            <w:pPr>
              <w:pStyle w:val="Normal"/>
              <w:spacing w:lineRule="auto" w:line="264" w:before="80" w:after="40"/>
              <w:rPr>
                <w:rFonts w:ascii="Arial" w:hAnsi="Arial" w:cs="Arial"/>
              </w:rPr>
            </w:pPr>
            <w:r>
              <w:rPr>
                <w:rFonts w:cs="Arial" w:ascii="Arial" w:hAnsi="Arial"/>
              </w:rPr>
              <w:t>Assessment</w:t>
            </w:r>
          </w:p>
        </w:tc>
      </w:tr>
      <w:tr>
        <w:trPr>
          <w:cantSplit w:val="true"/>
        </w:trPr>
        <w:tc>
          <w:tcPr>
            <w:tcW w:w="566" w:type="dxa"/>
            <w:tcBorders>
              <w:bottom w:val="single" w:sz="4" w:space="0" w:color="000000"/>
            </w:tcBorders>
          </w:tcPr>
          <w:p>
            <w:pPr>
              <w:pStyle w:val="Normal"/>
              <w:spacing w:lineRule="auto" w:line="264" w:before="80" w:after="40"/>
              <w:rPr>
                <w:rFonts w:ascii="Arial" w:hAnsi="Arial" w:cs="Arial"/>
              </w:rPr>
            </w:pPr>
            <w:r>
              <w:rPr>
                <w:rFonts w:cs="Arial" w:ascii="Arial" w:hAnsi="Arial"/>
              </w:rPr>
              <w:t>5.</w:t>
            </w:r>
          </w:p>
        </w:tc>
        <w:tc>
          <w:tcPr>
            <w:tcW w:w="6804" w:type="dxa"/>
            <w:gridSpan w:val="2"/>
            <w:tcBorders>
              <w:bottom w:val="single" w:sz="4" w:space="0" w:color="000000"/>
            </w:tcBorders>
          </w:tcPr>
          <w:p>
            <w:pPr>
              <w:pStyle w:val="Normal"/>
              <w:spacing w:lineRule="auto" w:line="264" w:before="80" w:after="40"/>
              <w:ind w:right="175"/>
              <w:rPr>
                <w:rFonts w:ascii="Arial" w:hAnsi="Arial" w:cs="Arial"/>
              </w:rPr>
            </w:pPr>
            <w:r>
              <w:rPr>
                <w:rFonts w:cs="Arial" w:ascii="Arial" w:hAnsi="Arial"/>
              </w:rPr>
              <w:t>Demonstrable ability to identify and implement innovative, technology-enabled solutions that improve workforce insight, business processes, user experience and organisational outcomes, including the effective application of automation, data visualisation and emerging technologies.</w:t>
            </w:r>
          </w:p>
        </w:tc>
        <w:tc>
          <w:tcPr>
            <w:tcW w:w="2695" w:type="dxa"/>
            <w:tcBorders>
              <w:bottom w:val="single" w:sz="4" w:space="0" w:color="000000"/>
            </w:tcBorders>
          </w:tcPr>
          <w:p>
            <w:pPr>
              <w:pStyle w:val="Normal"/>
              <w:spacing w:lineRule="auto" w:line="264" w:before="80" w:after="40"/>
              <w:rPr>
                <w:rFonts w:ascii="Arial" w:hAnsi="Arial" w:cs="Arial"/>
              </w:rPr>
            </w:pPr>
            <w:r>
              <w:rPr>
                <w:rFonts w:cs="Arial" w:ascii="Arial" w:hAnsi="Arial"/>
              </w:rPr>
              <w:t>Application / Interview</w:t>
            </w:r>
          </w:p>
        </w:tc>
      </w:tr>
      <w:tr>
        <w:trPr>
          <w:cantSplit w:val="true"/>
        </w:trPr>
        <w:tc>
          <w:tcPr>
            <w:tcW w:w="566" w:type="dxa"/>
            <w:tcBorders>
              <w:bottom w:val="single" w:sz="4" w:space="0" w:color="000000"/>
            </w:tcBorders>
          </w:tcPr>
          <w:p>
            <w:pPr>
              <w:pStyle w:val="Normal"/>
              <w:spacing w:lineRule="auto" w:line="264" w:before="80" w:after="40"/>
              <w:rPr>
                <w:rFonts w:ascii="Arial" w:hAnsi="Arial" w:cs="Arial"/>
              </w:rPr>
            </w:pPr>
            <w:r>
              <w:rPr>
                <w:rFonts w:cs="Arial" w:ascii="Arial" w:hAnsi="Arial"/>
              </w:rPr>
              <w:t>6.</w:t>
            </w:r>
          </w:p>
        </w:tc>
        <w:tc>
          <w:tcPr>
            <w:tcW w:w="6804" w:type="dxa"/>
            <w:gridSpan w:val="2"/>
            <w:tcBorders>
              <w:bottom w:val="single" w:sz="4" w:space="0" w:color="000000"/>
            </w:tcBorders>
          </w:tcPr>
          <w:p>
            <w:pPr>
              <w:pStyle w:val="Normal"/>
              <w:spacing w:lineRule="auto" w:line="264" w:before="80" w:after="40"/>
              <w:ind w:right="175"/>
              <w:rPr>
                <w:rFonts w:ascii="Arial" w:hAnsi="Arial" w:cs="Arial"/>
              </w:rPr>
            </w:pPr>
            <w:r>
              <w:rPr>
                <w:rFonts w:cs="Arial" w:ascii="Arial" w:hAnsi="Arial"/>
              </w:rPr>
              <w:t>Knowledge of relevant legislative, regulatory and governance requirements relating to workforce data, HR systems, information management, employment reporting and data protection, with the ability to establish effective compliance monitoring and assurance arrangements.</w:t>
            </w:r>
          </w:p>
        </w:tc>
        <w:tc>
          <w:tcPr>
            <w:tcW w:w="2695" w:type="dxa"/>
            <w:tcBorders>
              <w:bottom w:val="single" w:sz="4" w:space="0" w:color="000000"/>
            </w:tcBorders>
          </w:tcPr>
          <w:p>
            <w:pPr>
              <w:pStyle w:val="Normal"/>
              <w:spacing w:lineRule="auto" w:line="264" w:before="80" w:after="40"/>
              <w:rPr>
                <w:rFonts w:ascii="Arial" w:hAnsi="Arial" w:cs="Arial"/>
              </w:rPr>
            </w:pPr>
            <w:r>
              <w:rPr>
                <w:rFonts w:cs="Arial" w:ascii="Arial" w:hAnsi="Arial"/>
              </w:rPr>
              <w:t>Application / Interview</w:t>
            </w:r>
          </w:p>
        </w:tc>
      </w:tr>
      <w:tr>
        <w:trPr>
          <w:cantSplit w:val="true"/>
        </w:trPr>
        <w:tc>
          <w:tcPr>
            <w:tcW w:w="566" w:type="dxa"/>
            <w:tcBorders/>
          </w:tcPr>
          <w:p>
            <w:pPr>
              <w:pStyle w:val="Normal"/>
              <w:spacing w:lineRule="auto" w:line="264" w:before="80" w:after="40"/>
              <w:rPr>
                <w:rFonts w:ascii="Arial" w:hAnsi="Arial" w:cs="Arial"/>
              </w:rPr>
            </w:pPr>
            <w:r>
              <w:rPr>
                <w:rFonts w:cs="Arial" w:ascii="Arial" w:hAnsi="Arial"/>
              </w:rPr>
              <w:t>7.</w:t>
            </w:r>
          </w:p>
        </w:tc>
        <w:tc>
          <w:tcPr>
            <w:tcW w:w="6804" w:type="dxa"/>
            <w:gridSpan w:val="2"/>
            <w:tcBorders/>
          </w:tcPr>
          <w:p>
            <w:pPr>
              <w:pStyle w:val="Normal"/>
              <w:spacing w:lineRule="auto" w:line="264" w:before="80" w:after="4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2695" w:type="dxa"/>
            <w:tcBorders/>
          </w:tcPr>
          <w:p>
            <w:pPr>
              <w:pStyle w:val="Normal"/>
              <w:spacing w:lineRule="auto" w:line="264" w:before="80" w:after="40"/>
              <w:rPr>
                <w:rFonts w:ascii="Arial" w:hAnsi="Arial" w:cs="Arial"/>
              </w:rPr>
            </w:pPr>
            <w:r>
              <w:rPr>
                <w:rFonts w:cs="Arial" w:ascii="Arial" w:hAnsi="Arial"/>
              </w:rPr>
              <w:t>Interview</w:t>
            </w:r>
          </w:p>
        </w:tc>
      </w:tr>
      <w:tr>
        <w:trPr>
          <w:cantSplit w:val="true"/>
        </w:trPr>
        <w:tc>
          <w:tcPr>
            <w:tcW w:w="10065" w:type="dxa"/>
            <w:gridSpan w:val="4"/>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2.</w:t>
              <w:tab/>
              <w:t>Experience/Qualifications/Training etc</w:t>
            </w:r>
          </w:p>
        </w:tc>
      </w:tr>
      <w:tr>
        <w:trPr>
          <w:cantSplit w:val="true"/>
        </w:trPr>
        <w:tc>
          <w:tcPr>
            <w:tcW w:w="566"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1.</w:t>
            </w:r>
          </w:p>
        </w:tc>
        <w:tc>
          <w:tcPr>
            <w:tcW w:w="6804" w:type="dxa"/>
            <w:gridSpan w:val="2"/>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Significant experience of HR systems, workforce data and analytics.</w:t>
            </w:r>
          </w:p>
        </w:tc>
        <w:tc>
          <w:tcPr>
            <w:tcW w:w="2695"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Assessment</w:t>
            </w:r>
          </w:p>
        </w:tc>
      </w:tr>
      <w:tr>
        <w:trPr>
          <w:cantSplit w:val="true"/>
        </w:trPr>
        <w:tc>
          <w:tcPr>
            <w:tcW w:w="566"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2.</w:t>
            </w:r>
          </w:p>
        </w:tc>
        <w:tc>
          <w:tcPr>
            <w:tcW w:w="6804" w:type="dxa"/>
            <w:gridSpan w:val="2"/>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 xml:space="preserve">Experience of managing a team and/or project teams. </w:t>
            </w:r>
          </w:p>
        </w:tc>
        <w:tc>
          <w:tcPr>
            <w:tcW w:w="2695"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Application / Interview</w:t>
            </w:r>
          </w:p>
        </w:tc>
      </w:tr>
      <w:tr>
        <w:trPr>
          <w:cantSplit w:val="true"/>
        </w:trPr>
        <w:tc>
          <w:tcPr>
            <w:tcW w:w="566"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3.</w:t>
            </w:r>
          </w:p>
        </w:tc>
        <w:tc>
          <w:tcPr>
            <w:tcW w:w="6804" w:type="dxa"/>
            <w:gridSpan w:val="2"/>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Experience of analysing and presenting complex information, including producing accurate data, insights and recommendations to required deadlines, i.e. statutory returns.</w:t>
            </w:r>
          </w:p>
        </w:tc>
        <w:tc>
          <w:tcPr>
            <w:tcW w:w="2695"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Interview / Assessment</w:t>
            </w:r>
          </w:p>
        </w:tc>
      </w:tr>
      <w:tr>
        <w:trPr>
          <w:cantSplit w:val="true"/>
        </w:trPr>
        <w:tc>
          <w:tcPr>
            <w:tcW w:w="566"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4.</w:t>
            </w:r>
          </w:p>
        </w:tc>
        <w:tc>
          <w:tcPr>
            <w:tcW w:w="6804" w:type="dxa"/>
            <w:gridSpan w:val="2"/>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Experience of workforce planning, insight and business intelligence.</w:t>
            </w:r>
          </w:p>
        </w:tc>
        <w:tc>
          <w:tcPr>
            <w:tcW w:w="2695"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Application / Interview</w:t>
            </w:r>
          </w:p>
        </w:tc>
      </w:tr>
      <w:tr>
        <w:trPr>
          <w:cantSplit w:val="true"/>
        </w:trPr>
        <w:tc>
          <w:tcPr>
            <w:tcW w:w="566"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5.</w:t>
            </w:r>
          </w:p>
        </w:tc>
        <w:tc>
          <w:tcPr>
            <w:tcW w:w="6804" w:type="dxa"/>
            <w:gridSpan w:val="2"/>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Experience of developing and implementing compliance, data quality, monitoring or assurance frameworks, ensuring adherence to legislative, regulatory and organisational requirements.</w:t>
            </w:r>
          </w:p>
        </w:tc>
        <w:tc>
          <w:tcPr>
            <w:tcW w:w="2695"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Application / Interview</w:t>
            </w:r>
          </w:p>
        </w:tc>
      </w:tr>
      <w:tr>
        <w:trPr>
          <w:cantSplit w:val="true"/>
        </w:trPr>
        <w:tc>
          <w:tcPr>
            <w:tcW w:w="566"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6.</w:t>
            </w:r>
          </w:p>
        </w:tc>
        <w:tc>
          <w:tcPr>
            <w:tcW w:w="6804" w:type="dxa"/>
            <w:gridSpan w:val="2"/>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Experience influencing senior stakeholders and supporting strategic decision-making.</w:t>
            </w:r>
          </w:p>
        </w:tc>
        <w:tc>
          <w:tcPr>
            <w:tcW w:w="2695"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Application / Interview</w:t>
            </w:r>
          </w:p>
        </w:tc>
      </w:tr>
      <w:tr>
        <w:trPr>
          <w:cantSplit w:val="true"/>
        </w:trPr>
        <w:tc>
          <w:tcPr>
            <w:tcW w:w="566"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7.</w:t>
            </w:r>
          </w:p>
        </w:tc>
        <w:tc>
          <w:tcPr>
            <w:tcW w:w="6804" w:type="dxa"/>
            <w:gridSpan w:val="2"/>
            <w:tcBorders>
              <w:top w:val="single" w:sz="4" w:space="0" w:color="000000"/>
              <w:bottom w:val="single" w:sz="4" w:space="0" w:color="000000"/>
            </w:tcBorders>
          </w:tcPr>
          <w:p>
            <w:pPr>
              <w:pStyle w:val="Normal"/>
              <w:spacing w:lineRule="auto" w:line="264" w:before="80" w:after="40"/>
              <w:rPr>
                <w:rFonts w:ascii="Arial" w:hAnsi="Arial" w:eastAsia="Calibri" w:cs="Arial"/>
              </w:rPr>
            </w:pPr>
            <w:r>
              <w:rPr>
                <w:rFonts w:eastAsia="Calibri" w:cs="Arial" w:ascii="Arial" w:hAnsi="Arial"/>
              </w:rPr>
              <w:t>Relevant degree, professional qualification or equivalent experience.</w:t>
            </w:r>
          </w:p>
        </w:tc>
        <w:tc>
          <w:tcPr>
            <w:tcW w:w="2695"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Application</w:t>
            </w:r>
          </w:p>
        </w:tc>
      </w:tr>
      <w:tr>
        <w:trPr>
          <w:cantSplit w:val="true"/>
        </w:trPr>
        <w:tc>
          <w:tcPr>
            <w:tcW w:w="10065" w:type="dxa"/>
            <w:gridSpan w:val="4"/>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3.</w:t>
              <w:tab/>
              <w:t>Work Related Circumstances</w:t>
            </w:r>
          </w:p>
        </w:tc>
      </w:tr>
      <w:tr>
        <w:trPr>
          <w:cantSplit w:val="true"/>
        </w:trPr>
        <w:tc>
          <w:tcPr>
            <w:tcW w:w="566"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1.</w:t>
            </w:r>
          </w:p>
        </w:tc>
        <w:tc>
          <w:tcPr>
            <w:tcW w:w="6804" w:type="dxa"/>
            <w:gridSpan w:val="2"/>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2695"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Interview</w:t>
            </w:r>
          </w:p>
        </w:tc>
      </w:tr>
      <w:tr>
        <w:trPr>
          <w:cantSplit w:val="true"/>
        </w:trPr>
        <w:tc>
          <w:tcPr>
            <w:tcW w:w="566"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2.</w:t>
            </w:r>
          </w:p>
        </w:tc>
        <w:tc>
          <w:tcPr>
            <w:tcW w:w="6804" w:type="dxa"/>
            <w:gridSpan w:val="2"/>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2695"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Interview</w:t>
            </w:r>
          </w:p>
        </w:tc>
      </w:tr>
      <w:tr>
        <w:trPr>
          <w:cantSplit w:val="true"/>
        </w:trPr>
        <w:tc>
          <w:tcPr>
            <w:tcW w:w="566"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3.</w:t>
            </w:r>
          </w:p>
        </w:tc>
        <w:tc>
          <w:tcPr>
            <w:tcW w:w="6804" w:type="dxa"/>
            <w:gridSpan w:val="2"/>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 xml:space="preserve">This role requires occasional working outside of normal office hours, for example at evenings and weekends, to meet the needs of the service. </w:t>
            </w:r>
          </w:p>
        </w:tc>
        <w:tc>
          <w:tcPr>
            <w:tcW w:w="2695"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 xml:space="preserve">Interview  </w:t>
            </w:r>
          </w:p>
        </w:tc>
      </w:tr>
      <w:tr>
        <w:trPr>
          <w:cantSplit w:val="true"/>
        </w:trPr>
        <w:tc>
          <w:tcPr>
            <w:tcW w:w="566"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4.</w:t>
            </w:r>
          </w:p>
        </w:tc>
        <w:tc>
          <w:tcPr>
            <w:tcW w:w="6804" w:type="dxa"/>
            <w:gridSpan w:val="2"/>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Posts designated as Information Asset Owners will be expected to lead and foster a culture that values, protects and uses information for the public good.  They must know what information the asset holds, what enters and leaves it and why, being responsible for maintaining this overview within the Councils Information Asset Register. The IAO will also need to know who has access and why and ensure their use of the asset is monitored and used for service delivery and performance management, understand and address risks to the asset and provide assurance to the SIRO/ DSIRO. Ultimately, the IAO must ensure the asset is fully used for the public good, including responding to access requests, audits and transparency /open data requests.</w:t>
            </w:r>
          </w:p>
        </w:tc>
        <w:tc>
          <w:tcPr>
            <w:tcW w:w="2695" w:type="dxa"/>
            <w:tcBorders>
              <w:top w:val="single" w:sz="4" w:space="0" w:color="000000"/>
              <w:bottom w:val="single" w:sz="4" w:space="0" w:color="000000"/>
            </w:tcBorders>
          </w:tcPr>
          <w:p>
            <w:pPr>
              <w:pStyle w:val="Normal"/>
              <w:spacing w:lineRule="auto" w:line="264" w:before="80" w:after="40"/>
              <w:rPr>
                <w:rFonts w:ascii="Arial" w:hAnsi="Arial" w:cs="Arial"/>
              </w:rPr>
            </w:pPr>
            <w:r>
              <w:rPr>
                <w:rFonts w:cs="Arial" w:ascii="Arial" w:hAnsi="Arial"/>
              </w:rPr>
              <w:t>Interview</w:t>
            </w:r>
          </w:p>
        </w:tc>
      </w:tr>
    </w:tbl>
    <w:p>
      <w:pPr>
        <w:pStyle w:val="Normal"/>
        <w:rPr/>
      </w:pPr>
      <w:r>
        <w:rPr/>
      </w:r>
    </w:p>
    <w:tbl>
      <w:tblPr>
        <w:tblW w:w="12321" w:type="dxa"/>
        <w:jc w:val="left"/>
        <w:tblInd w:w="108" w:type="dxa"/>
        <w:tblLayout w:type="fixed"/>
        <w:tblCellMar>
          <w:top w:w="0" w:type="dxa"/>
          <w:left w:w="108" w:type="dxa"/>
          <w:bottom w:w="0" w:type="dxa"/>
          <w:right w:w="108" w:type="dxa"/>
        </w:tblCellMar>
      </w:tblPr>
      <w:tblGrid>
        <w:gridCol w:w="693"/>
        <w:gridCol w:w="1521"/>
        <w:gridCol w:w="6291"/>
        <w:gridCol w:w="517"/>
        <w:gridCol w:w="3299"/>
      </w:tblGrid>
      <w:tr>
        <w:trPr>
          <w:trHeight w:val="548" w:hRule="atLeast"/>
        </w:trPr>
        <w:tc>
          <w:tcPr>
            <w:tcW w:w="2214"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10107"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9022" w:type="dxa"/>
            <w:gridSpan w:val="4"/>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80" w:after="80"/>
              <w:rPr>
                <w:rFonts w:ascii="Arial" w:hAnsi="Arial" w:cs="Arial"/>
                <w:b/>
                <w:color w:val="FFFFFF"/>
              </w:rPr>
            </w:pPr>
            <w:r>
              <w:rPr>
                <w:rFonts w:cs="Arial" w:ascii="Arial" w:hAnsi="Arial"/>
                <w:b/>
                <w:color w:val="FFFFFF"/>
              </w:rPr>
              <w:t>Additional Requirements</w:t>
            </w:r>
          </w:p>
        </w:tc>
        <w:tc>
          <w:tcPr>
            <w:tcW w:w="3299"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80" w:after="80"/>
              <w:rPr>
                <w:rFonts w:ascii="Arial" w:hAnsi="Arial" w:cs="Arial"/>
                <w:b/>
                <w:color w:val="FFFFFF"/>
              </w:rPr>
            </w:pPr>
            <w:r>
              <w:rPr>
                <w:rFonts w:cs="Arial" w:ascii="Arial" w:hAnsi="Arial"/>
                <w:b/>
                <w:color w:val="FFFFFF"/>
              </w:rPr>
              <w:t>Method of Assessment</w:t>
            </w:r>
          </w:p>
        </w:tc>
      </w:tr>
      <w:tr>
        <w:trPr>
          <w:cantSplit w:val="true"/>
        </w:trPr>
        <w:tc>
          <w:tcPr>
            <w:tcW w:w="12321"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93" w:type="dxa"/>
            <w:tcBorders>
              <w:top w:val="single" w:sz="4" w:space="0" w:color="000000"/>
              <w:bottom w:val="single" w:sz="4" w:space="0" w:color="000000"/>
            </w:tcBorders>
          </w:tcPr>
          <w:p>
            <w:pPr>
              <w:pStyle w:val="Normal"/>
              <w:spacing w:lineRule="auto" w:line="240" w:before="80" w:after="80"/>
              <w:rPr>
                <w:rFonts w:ascii="Arial" w:hAnsi="Arial" w:cs="Arial"/>
              </w:rPr>
            </w:pPr>
            <w:r>
              <w:rPr>
                <w:rFonts w:cs="Arial" w:ascii="Arial" w:hAnsi="Arial"/>
              </w:rPr>
              <w:t>1.</w:t>
            </w:r>
          </w:p>
        </w:tc>
        <w:tc>
          <w:tcPr>
            <w:tcW w:w="8329" w:type="dxa"/>
            <w:gridSpan w:val="3"/>
            <w:tcBorders>
              <w:top w:val="single" w:sz="4" w:space="0" w:color="000000"/>
              <w:bottom w:val="single" w:sz="4" w:space="0" w:color="000000"/>
              <w:right w:val="single" w:sz="4" w:space="0" w:color="000000"/>
            </w:tcBorders>
          </w:tcPr>
          <w:p>
            <w:pPr>
              <w:pStyle w:val="Normal"/>
              <w:snapToGrid w:val="false"/>
              <w:spacing w:lineRule="auto" w:line="240" w:before="80" w:after="80"/>
              <w:rPr>
                <w:rFonts w:ascii="Arial" w:hAnsi="Arial" w:cs="Arial"/>
              </w:rPr>
            </w:pPr>
            <w:r>
              <w:rPr>
                <w:rFonts w:cs="Arial" w:ascii="Arial" w:hAnsi="Arial"/>
              </w:rPr>
            </w:r>
          </w:p>
        </w:tc>
        <w:tc>
          <w:tcPr>
            <w:tcW w:w="3299" w:type="dxa"/>
            <w:tcBorders>
              <w:top w:val="single" w:sz="4" w:space="0" w:color="000000"/>
              <w:left w:val="single" w:sz="4" w:space="0" w:color="000000"/>
              <w:bottom w:val="single" w:sz="4" w:space="0" w:color="000000"/>
            </w:tcBorders>
          </w:tcPr>
          <w:p>
            <w:pPr>
              <w:pStyle w:val="Normal"/>
              <w:snapToGrid w:val="false"/>
              <w:spacing w:lineRule="auto" w:line="240" w:before="80" w:after="80"/>
              <w:rPr>
                <w:rFonts w:ascii="Arial" w:hAnsi="Arial" w:cs="Arial"/>
              </w:rPr>
            </w:pPr>
            <w:r>
              <w:rPr>
                <w:rFonts w:cs="Arial" w:ascii="Arial" w:hAnsi="Arial"/>
              </w:rPr>
            </w:r>
          </w:p>
        </w:tc>
      </w:tr>
      <w:tr>
        <w:trPr>
          <w:cantSplit w:val="true"/>
        </w:trPr>
        <w:tc>
          <w:tcPr>
            <w:tcW w:w="12321"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93" w:type="dxa"/>
            <w:tcBorders>
              <w:top w:val="single" w:sz="4" w:space="0" w:color="000000"/>
              <w:bottom w:val="single" w:sz="4" w:space="0" w:color="000000"/>
            </w:tcBorders>
          </w:tcPr>
          <w:p>
            <w:pPr>
              <w:pStyle w:val="Normal"/>
              <w:spacing w:lineRule="auto" w:line="240" w:before="80" w:after="40"/>
              <w:rPr>
                <w:rFonts w:ascii="Arial" w:hAnsi="Arial" w:cs="Arial"/>
              </w:rPr>
            </w:pPr>
            <w:r>
              <w:rPr>
                <w:rFonts w:cs="Arial" w:ascii="Arial" w:hAnsi="Arial"/>
              </w:rPr>
              <w:t>1.</w:t>
            </w:r>
          </w:p>
        </w:tc>
        <w:tc>
          <w:tcPr>
            <w:tcW w:w="8329" w:type="dxa"/>
            <w:gridSpan w:val="3"/>
            <w:tcBorders>
              <w:top w:val="single" w:sz="4" w:space="0" w:color="000000"/>
              <w:bottom w:val="single" w:sz="4" w:space="0" w:color="000000"/>
              <w:right w:val="single" w:sz="4" w:space="0" w:color="000000"/>
            </w:tcBorders>
          </w:tcPr>
          <w:p>
            <w:pPr>
              <w:pStyle w:val="Normal"/>
              <w:snapToGrid w:val="false"/>
              <w:spacing w:lineRule="auto" w:line="240" w:before="80" w:after="40"/>
              <w:rPr>
                <w:rFonts w:ascii="Arial" w:hAnsi="Arial" w:cs="Arial"/>
              </w:rPr>
            </w:pPr>
            <w:r>
              <w:rPr>
                <w:rFonts w:cs="Arial" w:ascii="Arial" w:hAnsi="Arial"/>
              </w:rPr>
            </w:r>
          </w:p>
        </w:tc>
        <w:tc>
          <w:tcPr>
            <w:tcW w:w="3299" w:type="dxa"/>
            <w:tcBorders>
              <w:top w:val="single" w:sz="4" w:space="0" w:color="000000"/>
              <w:left w:val="single" w:sz="4" w:space="0" w:color="000000"/>
              <w:bottom w:val="single" w:sz="4" w:space="0" w:color="000000"/>
            </w:tcBorders>
          </w:tcPr>
          <w:p>
            <w:pPr>
              <w:pStyle w:val="Normal"/>
              <w:snapToGrid w:val="false"/>
              <w:spacing w:lineRule="auto" w:line="240" w:before="80" w:after="40"/>
              <w:rPr>
                <w:rFonts w:ascii="Arial" w:hAnsi="Arial" w:cs="Arial"/>
              </w:rPr>
            </w:pPr>
            <w:r>
              <w:rPr>
                <w:rFonts w:cs="Arial" w:ascii="Arial" w:hAnsi="Arial"/>
              </w:rPr>
            </w:r>
          </w:p>
        </w:tc>
      </w:tr>
      <w:tr>
        <w:trPr/>
        <w:tc>
          <w:tcPr>
            <w:tcW w:w="8505" w:type="dxa"/>
            <w:gridSpan w:val="3"/>
            <w:tcBorders/>
          </w:tcPr>
          <w:p>
            <w:pPr>
              <w:pStyle w:val="Normal"/>
              <w:snapToGrid w:val="false"/>
              <w:spacing w:lineRule="auto" w:line="240" w:before="0" w:after="80"/>
              <w:rPr>
                <w:rFonts w:ascii="Arial" w:hAnsi="Arial" w:cs="Arial"/>
                <w:b/>
              </w:rPr>
            </w:pPr>
            <w:r>
              <w:rPr>
                <w:rFonts w:cs="Arial" w:ascii="Arial" w:hAnsi="Arial"/>
                <w:b/>
              </w:rPr>
            </w:r>
          </w:p>
          <w:p>
            <w:pPr>
              <w:pStyle w:val="Normal"/>
              <w:spacing w:lineRule="auto" w:line="240" w:before="0" w:after="80"/>
              <w:rPr>
                <w:rFonts w:ascii="Arial" w:hAnsi="Arial" w:cs="Arial"/>
                <w:b/>
              </w:rPr>
            </w:pPr>
            <w:r>
              <w:rPr>
                <w:rFonts w:cs="Arial" w:ascii="Arial" w:hAnsi="Arial"/>
                <w:b/>
              </w:rPr>
              <w:t>Date Person Specification prepared/updated</w:t>
              <w:tab/>
              <w:t>September 2026</w:t>
            </w:r>
          </w:p>
        </w:tc>
        <w:tc>
          <w:tcPr>
            <w:tcW w:w="3816" w:type="dxa"/>
            <w:gridSpan w:val="2"/>
            <w:tcBorders/>
          </w:tcPr>
          <w:p>
            <w:pPr>
              <w:pStyle w:val="Normal"/>
              <w:snapToGrid w:val="false"/>
              <w:spacing w:lineRule="auto" w:line="240" w:before="0" w:after="80"/>
              <w:rPr>
                <w:rFonts w:ascii="Arial" w:hAnsi="Arial" w:cs="Arial"/>
                <w:b/>
              </w:rPr>
            </w:pPr>
            <w:r>
              <w:rPr>
                <w:rFonts w:cs="Arial" w:ascii="Arial" w:hAnsi="Arial"/>
                <w:b/>
              </w:rPr>
            </w:r>
          </w:p>
        </w:tc>
      </w:tr>
      <w:tr>
        <w:trPr/>
        <w:tc>
          <w:tcPr>
            <w:tcW w:w="8505" w:type="dxa"/>
            <w:gridSpan w:val="3"/>
            <w:tcBorders/>
          </w:tcPr>
          <w:p>
            <w:pPr>
              <w:pStyle w:val="Normal"/>
              <w:spacing w:lineRule="auto" w:line="240" w:before="0" w:after="80"/>
              <w:rPr>
                <w:rFonts w:ascii="Arial" w:hAnsi="Arial" w:cs="Arial"/>
                <w:b/>
              </w:rPr>
            </w:pPr>
            <w:r>
              <w:rPr>
                <w:rFonts w:cs="Arial" w:ascii="Arial" w:hAnsi="Arial"/>
                <w:b/>
              </w:rPr>
              <w:t>Person Specification prepared by</w:t>
              <w:tab/>
              <w:tab/>
              <w:tab/>
              <w:t>Head of Corporate HR</w:t>
            </w:r>
          </w:p>
        </w:tc>
        <w:tc>
          <w:tcPr>
            <w:tcW w:w="3816" w:type="dxa"/>
            <w:gridSpan w:val="2"/>
            <w:tcBorders/>
          </w:tcPr>
          <w:p>
            <w:pPr>
              <w:pStyle w:val="Normal"/>
              <w:snapToGrid w:val="false"/>
              <w:spacing w:lineRule="auto" w:line="240" w:before="0" w:after="8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56" w:before="0" w:after="160"/>
        <w:rPr>
          <w:rFonts w:ascii="Arial" w:hAnsi="Arial" w:cs="Arial"/>
          <w:b/>
        </w:rPr>
      </w:pPr>
      <w:r>
        <w:rPr>
          <w:rFonts w:cs="Arial" w:ascii="Arial" w:hAnsi="Arial"/>
          <w:b/>
        </w:rPr>
      </w:r>
      <w:r>
        <w:br w:type="page"/>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April 2022</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BalloonTextChar">
    <w:name w:val="Balloon Text Char"/>
    <w:basedOn w:val="DefaultParagraphFont"/>
    <w:qFormat/>
    <w:rPr>
      <w:rFonts w:ascii="Tahoma" w:hAnsi="Tahoma" w:cs="Tahoma"/>
      <w:sz w:val="16"/>
      <w:szCs w:val="16"/>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