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rPr>
      </w:pPr>
      <w:r>
        <w:rPr>
          <w:rFonts w:eastAsia="Arial" w:cs="Arial" w:ascii="Arial" w:hAnsi="Arial"/>
          <w:b/>
          <w:bCs/>
        </w:rPr>
        <w:t xml:space="preserve"> </w:t>
      </w:r>
      <w:r>
        <w:rPr>
          <w:rFonts w:cs="Arial" w:ascii="Arial" w:hAnsi="Arial"/>
          <w:b/>
          <w:bCs/>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Landscape Architect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60" w:after="60"/>
              <w:rPr>
                <w:rFonts w:ascii="Arial" w:hAnsi="Arial" w:cs="Arial"/>
              </w:rPr>
            </w:pPr>
            <w:r>
              <w:rPr>
                <w:rFonts w:cs="Arial" w:ascii="Arial" w:hAnsi="Arial"/>
              </w:rPr>
              <w:t>To provide a professional Landscape Architectural service within the Council</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Landscape Regeneration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tbl>
      <w:tblPr>
        <w:tblW w:w="9633" w:type="dxa"/>
        <w:jc w:val="left"/>
        <w:tblInd w:w="0" w:type="dxa"/>
        <w:tblCellMar>
          <w:top w:w="0" w:type="dxa"/>
          <w:left w:w="108" w:type="dxa"/>
          <w:bottom w:w="0" w:type="dxa"/>
          <w:right w:w="108" w:type="dxa"/>
        </w:tblCellMar>
      </w:tblPr>
      <w:tblGrid>
        <w:gridCol w:w="1270"/>
        <w:gridCol w:w="8363"/>
      </w:tblGrid>
      <w:tr>
        <w:trPr>
          <w:trHeight w:val="1565" w:hRule="atLeast"/>
        </w:trPr>
        <w:tc>
          <w:tcPr>
            <w:tcW w:w="1270" w:type="dxa"/>
            <w:tcBorders/>
            <w:shd w:fill="auto" w:val="clear"/>
          </w:tcPr>
          <w:p>
            <w:pPr>
              <w:pStyle w:val="Normal"/>
              <w:spacing w:lineRule="auto" w:line="240" w:before="0" w:after="0"/>
              <w:rPr>
                <w:rFonts w:ascii="Arial" w:hAnsi="Arial" w:cs="Arial"/>
                <w:b/>
                <w:b/>
              </w:rPr>
            </w:pPr>
            <w:r>
              <w:rPr>
                <w:rFonts w:cs="Arial" w:ascii="Arial" w:hAnsi="Arial"/>
                <w:b/>
              </w:rPr>
              <w:t xml:space="preserve">1 </w:t>
            </w:r>
          </w:p>
        </w:tc>
        <w:tc>
          <w:tcPr>
            <w:tcW w:w="8363" w:type="dxa"/>
            <w:tcBorders/>
            <w:shd w:fill="auto" w:val="clear"/>
          </w:tcPr>
          <w:p>
            <w:pPr>
              <w:pStyle w:val="Normal"/>
              <w:spacing w:lineRule="auto" w:line="240" w:before="60" w:after="60"/>
              <w:rPr>
                <w:rFonts w:ascii="Arial" w:hAnsi="Arial" w:cs="Arial"/>
              </w:rPr>
            </w:pPr>
            <w:r>
              <w:rPr>
                <w:rFonts w:cs="Arial" w:ascii="Arial" w:hAnsi="Arial"/>
              </w:rPr>
              <w:t>Provide a professional Landscape Architectural service, including all professional work stages of design and delivery of landscape schemes (including budgetary control and financial management), commenting on planning applications, submitting planning applications for our own schemes, and giving advice to clients and stakeholders across the borough.</w:t>
            </w:r>
          </w:p>
        </w:tc>
      </w:tr>
      <w:tr>
        <w:trPr/>
        <w:tc>
          <w:tcPr>
            <w:tcW w:w="1270"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363" w:type="dxa"/>
            <w:tcBorders/>
            <w:shd w:fill="auto" w:val="clear"/>
          </w:tcPr>
          <w:p>
            <w:pPr>
              <w:pStyle w:val="Normal"/>
              <w:spacing w:lineRule="auto" w:line="240" w:before="0" w:after="0"/>
              <w:rPr>
                <w:rFonts w:ascii="Arial" w:hAnsi="Arial" w:cs="Arial"/>
              </w:rPr>
            </w:pPr>
            <w:r>
              <w:rPr>
                <w:rFonts w:cs="Arial" w:ascii="Arial" w:hAnsi="Arial"/>
              </w:rPr>
              <w:t>Assist the Landscape Regeneration Manager and other team members in various elements including the Section 106 process of planning gain administration and delivery, and the delivery of the annual programme of work in the section, on time and to budget.</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r>
        <w:trPr/>
        <w:tc>
          <w:tcPr>
            <w:tcW w:w="1270"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363" w:type="dxa"/>
            <w:tcBorders/>
            <w:shd w:fill="auto" w:val="clear"/>
          </w:tcPr>
          <w:p>
            <w:pPr>
              <w:pStyle w:val="Normal"/>
              <w:spacing w:lineRule="auto" w:line="240" w:before="60" w:after="60"/>
              <w:rPr>
                <w:rFonts w:ascii="Arial" w:hAnsi="Arial" w:cs="Arial"/>
              </w:rPr>
            </w:pPr>
            <w:r>
              <w:rPr>
                <w:rFonts w:cs="Arial" w:ascii="Arial" w:hAnsi="Arial"/>
              </w:rPr>
              <w:t>Oversee the work of more junior members of staff or outside consultants, as necessary and as directed by the Landscape Regeneration Manager.</w:t>
            </w:r>
          </w:p>
          <w:p>
            <w:pPr>
              <w:pStyle w:val="Normal"/>
              <w:spacing w:lineRule="auto" w:line="240" w:before="60" w:after="60"/>
              <w:rPr>
                <w:rFonts w:ascii="Arial" w:hAnsi="Arial" w:cs="Arial"/>
              </w:rPr>
            </w:pPr>
            <w:r>
              <w:rPr>
                <w:rFonts w:cs="Arial" w:ascii="Arial" w:hAnsi="Arial"/>
              </w:rPr>
            </w:r>
          </w:p>
        </w:tc>
      </w:tr>
      <w:tr>
        <w:trPr/>
        <w:tc>
          <w:tcPr>
            <w:tcW w:w="1270"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363" w:type="dxa"/>
            <w:tcBorders/>
            <w:shd w:fill="auto" w:val="clear"/>
          </w:tcPr>
          <w:p>
            <w:pPr>
              <w:pStyle w:val="Normal"/>
              <w:spacing w:lineRule="auto" w:line="240" w:before="0" w:after="0"/>
              <w:rPr>
                <w:rFonts w:ascii="Arial" w:hAnsi="Arial" w:cs="Arial"/>
              </w:rPr>
            </w:pPr>
            <w:r>
              <w:rPr>
                <w:rFonts w:cs="Arial" w:ascii="Arial" w:hAnsi="Arial"/>
              </w:rPr>
              <w:t>Assist in the formulation and implementation of strategies for the development of the service, including funding applications and marketing opportunities, as well as assisting with writing policy documents and action plans.</w:t>
            </w:r>
          </w:p>
        </w:tc>
      </w:tr>
      <w:tr>
        <w:trPr/>
        <w:tc>
          <w:tcPr>
            <w:tcW w:w="1270" w:type="dxa"/>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5</w:t>
            </w:r>
          </w:p>
        </w:tc>
        <w:tc>
          <w:tcPr>
            <w:tcW w:w="8363" w:type="dxa"/>
            <w:tcBorders/>
            <w:shd w:fill="auto" w:val="clear"/>
          </w:tcPr>
          <w:p>
            <w:pPr>
              <w:pStyle w:val="Normal"/>
              <w:spacing w:lineRule="auto" w:line="240" w:before="0" w:after="0"/>
              <w:rPr>
                <w:rFonts w:ascii="Arial" w:hAnsi="Arial" w:cs="Arial"/>
              </w:rPr>
            </w:pPr>
            <w:r>
              <w:rPr>
                <w:rFonts w:cs="Arial" w:ascii="Arial" w:hAnsi="Arial"/>
              </w:rPr>
              <w:t>Undertake the design of all types of hard and soft landscaping schemes throughout the Borough including the preparation of site surveys, feasibility studies, sketches, estimates, reports and material appropriate for external funding bids.</w:t>
            </w:r>
          </w:p>
        </w:tc>
      </w:tr>
      <w:tr>
        <w:trPr/>
        <w:tc>
          <w:tcPr>
            <w:tcW w:w="1270" w:type="dxa"/>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6</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Prepare all forms of contract documentation in relation to landscape schemes including tenders, specifications, pricing schedules/bills of quantity and working drawings.</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7</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Undertake as required all aspects of contract supervision, compliance and financial management, including the issuing of purchase orders, instructions and variations, checking contractors’ performance, monitoring quality, verifying accounts and payments.</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8</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Provide an advisory service on landscape and open space aspects of development planning.</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9</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Carry out landscape planning projects and landscape assessment.</w:t>
            </w:r>
          </w:p>
        </w:tc>
      </w:tr>
      <w:tr>
        <w:trPr>
          <w:trHeight w:val="80" w:hRule="atLeast"/>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10</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Provide all forms of advice on landscape architectural issues to Council stakeholders, outside agencies/public bodies, voluntary organisations and members of the public.</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11</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Investigate and respond to queries and complaints from Elected Members, the general public and other Departments in relation to all aspects of the work of the Landscape team.</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12</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Represent the Department and/or Division at Committees or other forums, as may be required.</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13</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Assist in monitoring the output of the section, including all necessary administrative duties associated with the efficient operation of the unit and supervising Landscape Architect assistants, students, work placements, outside consultants and short term contracted-in Landscape Architects.</w:t>
            </w:r>
          </w:p>
        </w:tc>
      </w:tr>
      <w:tr>
        <w:trPr/>
        <w:tc>
          <w:tcPr>
            <w:tcW w:w="1270" w:type="dxa"/>
            <w:tcBorders/>
            <w:shd w:fill="auto" w:val="clea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14</w:t>
            </w:r>
          </w:p>
        </w:tc>
        <w:tc>
          <w:tcPr>
            <w:tcW w:w="8363" w:type="dxa"/>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Undertake any other duties relevant to the post which may be assigned by the Landscape Regeneration Manager</w:t>
            </w:r>
          </w:p>
          <w:p>
            <w:pPr>
              <w:pStyle w:val="Normal"/>
              <w:spacing w:lineRule="auto" w:line="240" w:before="0" w:after="0"/>
              <w:rPr>
                <w:rFonts w:ascii="Arial" w:hAnsi="Arial" w:eastAsia="Times New Roman" w:cs="Arial"/>
                <w:lang w:eastAsia="en-GB"/>
              </w:rPr>
            </w:pPr>
            <w:r>
              <w:rPr>
                <w:rFonts w:eastAsia="Times New Roman" w:cs="Arial" w:ascii="Arial" w:hAnsi="Arial"/>
                <w:lang w:eastAsia="en-GB"/>
              </w:rPr>
            </w:r>
          </w:p>
        </w:tc>
      </w:tr>
    </w:tbl>
    <w:p>
      <w:pPr>
        <w:pStyle w:val="Normal"/>
        <w:spacing w:lineRule="auto" w:line="240" w:before="0" w:after="120"/>
        <w:rPr>
          <w:rFonts w:ascii="Arial" w:hAnsi="Arial" w:cs="Arial"/>
          <w:b/>
          <w:b/>
        </w:rPr>
      </w:pPr>
      <w:r>
        <w:rPr>
          <w:rFonts w:cs="Arial" w:ascii="Arial" w:hAnsi="Arial"/>
          <w:b/>
        </w:rPr>
      </w:r>
    </w:p>
    <w:p>
      <w:pPr>
        <w:pStyle w:val="Normal"/>
        <w:spacing w:before="0" w:after="0"/>
        <w:rPr>
          <w:rFonts w:ascii="Arial" w:hAnsi="Arial" w:cs="Arial"/>
          <w:b/>
          <w:b/>
        </w:rPr>
      </w:pPr>
      <w:r>
        <w:rPr>
          <w:rFonts w:cs="Arial" w:ascii="Arial" w:hAnsi="Arial"/>
          <w:b/>
        </w:rPr>
        <w:t>Date Job Description prepared/updated: June 2026</w:t>
      </w:r>
    </w:p>
    <w:p>
      <w:pPr>
        <w:pStyle w:val="Normal"/>
        <w:spacing w:lineRule="auto" w:line="240" w:before="0" w:after="120"/>
        <w:rPr>
          <w:rFonts w:ascii="Arial" w:hAnsi="Arial" w:cs="Arial"/>
          <w:b/>
          <w:b/>
        </w:rPr>
      </w:pPr>
      <w:r>
        <w:rPr>
          <w:rFonts w:cs="Arial" w:ascii="Arial" w:hAnsi="Arial"/>
          <w:b/>
        </w:rPr>
        <w:t>Job Description prepared by: S. Rigby CMLI</w:t>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spacing w:lineRule="auto" w:line="240" w:before="0" w:after="120"/>
        <w:rPr>
          <w:rFonts w:ascii="Arial" w:hAnsi="Arial" w:cs="Arial"/>
          <w:b/>
          <w:b/>
        </w:rPr>
      </w:pPr>
      <w:r>
        <w:rPr>
          <w:rFonts w:cs="Arial" w:ascii="Arial" w:hAnsi="Arial"/>
          <w:b/>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 xml:space="preserve">Department </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Landscape Architect</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The ability, qualifications and experience to fulfil the role of a Chartered Landscape Architect in a Council setting, including designing and detailing both hard and soft landscape schemes</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The ability to produce practical &amp; innovative design solutions, which are also achievable within budgets</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Demonstrate confident and effective oral communication skills at all levels</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The ability to structure and produce clear, logical written reports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Be competent in addressing/making presentations to Committees, Working Groups and other forums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Consultation skills – the ability to convey proposals and obtain opinions and generate appropriate feedback from stakeholders at various levels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Be able to communicate design solutions by various appropriate means in a manner easily understood by non-technical people</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The knowledge and ability to produce contract documentation and administer the process necessary to develop a scheme through to both practical and final completion</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0" w:after="0"/>
              <w:rPr/>
            </w:pPr>
            <w:r>
              <w:rPr>
                <w:rFonts w:cs="Arial" w:ascii="Arial" w:hAnsi="Arial"/>
              </w:rPr>
              <w:t>Thorough knowledge of specifying planting and hard landscape materials to create successful landscape projects</w:t>
            </w:r>
            <w:r>
              <w:rPr>
                <w:rFonts w:cs="Arial" w:ascii="Arial" w:hAnsi="Arial"/>
                <w:highlight w:val="yellow"/>
              </w:rPr>
              <w:t xml:space="preserve"> </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programme work and deliver projects to agreed timescales and budgets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11.</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High levels of competency with AutoCAD and other associated drawing and specification software to produce design and contract drawings and specifications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12.</w:t>
            </w:r>
          </w:p>
        </w:tc>
        <w:tc>
          <w:tcPr>
            <w:tcW w:w="5559" w:type="dxa"/>
            <w:gridSpan w:val="6"/>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Knowledge and experience of the Development Management (Planning) process and LVIA</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13.</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ListParagraph"/>
              <w:spacing w:lineRule="auto" w:line="240" w:before="120" w:after="120"/>
              <w:contextualSpacing/>
              <w:rPr>
                <w:rFonts w:cs="Arial"/>
              </w:rPr>
            </w:pPr>
            <w:r>
              <w:rPr>
                <w:rFonts w:cs="Arial"/>
              </w:rPr>
              <w:t>11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 degree or Master’s degree in Landscape Architecture </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A Chartered Member of the Landscape Institute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p>
            <w:pPr>
              <w:pStyle w:val="Normal"/>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may occasionally require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and knowledge of designing and specifying children’s play areas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June 2026</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 S. Rigby CMLI</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843"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Char">
    <w:name w:val="Body Text Char"/>
    <w:basedOn w:val="DefaultParagraphFont"/>
    <w:qFormat/>
    <w:rPr>
      <w:rFonts w:ascii="Arial" w:hAnsi="Arial" w:eastAsia="Times New Roman" w:cs="Times New Roman"/>
      <w:sz w:val="20"/>
      <w:szCs w:val="20"/>
      <w:lang w:eastAsia="en-GB"/>
    </w:rPr>
  </w:style>
  <w:style w:type="character" w:styleId="PlainTextChar">
    <w:name w:val="Plain Text Char"/>
    <w:basedOn w:val="DefaultParagraphFont"/>
    <w:qFormat/>
    <w:rPr>
      <w:rFonts w:ascii="Courier New" w:hAnsi="Courier New" w:eastAsia="Times New Roman" w:cs="Times New Roman"/>
      <w:sz w:val="20"/>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jc w:val="both"/>
    </w:pPr>
    <w:rPr>
      <w:rFonts w:ascii="Arial" w:hAnsi="Arial" w:eastAsia="Times New Roman" w:cs="Times New Roman"/>
      <w:sz w:val="20"/>
      <w:szCs w:val="20"/>
      <w:lang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PlainText">
    <w:name w:val="Plain Text"/>
    <w:basedOn w:val="Normal"/>
    <w:qFormat/>
    <w:pPr>
      <w:spacing w:lineRule="auto" w:line="240" w:before="0" w:after="0"/>
    </w:pPr>
    <w:rPr>
      <w:rFonts w:ascii="Courier New" w:hAnsi="Courier New" w:eastAsia="Times New Roman" w:cs="Times New Roman"/>
      <w:sz w:val="20"/>
      <w:szCs w:val="20"/>
      <w:lang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2026-06-30T14:50:00Z</dcterms:created>
  <dc:creator>Johnson, Andrew</dc:creator>
  <dc:description/>
  <dc:language>en-US</dc:language>
  <cp:lastModifiedBy>Abdulla, Ahmed</cp:lastModifiedBy>
  <cp:lastPrinted>1995-11-21T17:41:00Z</cp:lastPrinted>
  <dcterms:modified xsi:type="dcterms:W3CDTF">2026-07-20T14:26:00Z</dcterms:modified>
  <cp:revision>63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