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3.png" ContentType="image/png"/>
  <Override PartName="/word/media/image2.png" ContentType="image/png"/>
  <Override PartName="/word/media/image4.png" ContentType="image/png"/>
  <Override PartName="/word/media/image5.png" ContentType="image/png"/>
  <Override PartName="/word/media/image6.png" ContentType="image/png"/>
  <Override PartName="/word/comments.xml" ContentType="application/vnd.openxmlformats-officedocument.wordprocessingml.comment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rPr/>
      </w:pPr>
      <w:r>
        <w:rPr/>
        <w:drawing>
          <wp:anchor behindDoc="0" distT="0" distB="0" distL="0" distR="0" simplePos="0" locked="0" layoutInCell="1" allowOverlap="1" relativeHeight="7">
            <wp:simplePos x="0" y="0"/>
            <wp:positionH relativeFrom="column">
              <wp:posOffset>4394835</wp:posOffset>
            </wp:positionH>
            <wp:positionV relativeFrom="paragraph">
              <wp:posOffset>-513080</wp:posOffset>
            </wp:positionV>
            <wp:extent cx="1904365" cy="83756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43" r="-19" b="-43"/>
                    <a:stretch>
                      <a:fillRect/>
                    </a:stretch>
                  </pic:blipFill>
                  <pic:spPr bwMode="auto">
                    <a:xfrm>
                      <a:off x="0" y="0"/>
                      <a:ext cx="1904365" cy="837565"/>
                    </a:xfrm>
                    <a:prstGeom prst="rect">
                      <a:avLst/>
                    </a:prstGeom>
                  </pic:spPr>
                </pic:pic>
              </a:graphicData>
            </a:graphic>
          </wp:anchor>
        </w:drawing>
      </w:r>
      <w:r>
        <w:rPr/>
        <w:br/>
      </w:r>
    </w:p>
    <w:p>
      <w:pPr>
        <w:pStyle w:val="Normal"/>
        <w:rPr>
          <w:rFonts w:eastAsia="Calibri" w:cs="Calibri"/>
        </w:rPr>
      </w:pPr>
      <w:r>
        <w:rPr>
          <w:rFonts w:eastAsia="Calibri" w:cs="Calibri"/>
        </w:rPr>
        <w:t xml:space="preserve"> </w:t>
      </w:r>
    </w:p>
    <w:p>
      <w:pPr>
        <w:pStyle w:val="Heading1"/>
        <w:rPr/>
      </w:pPr>
      <w:r>
        <w:rPr>
          <w:b/>
          <w:bCs/>
          <w:color w:val="auto"/>
          <w:sz w:val="40"/>
          <w:szCs w:val="40"/>
        </w:rPr>
        <w:t>Job Description</w:t>
      </w:r>
      <w:r>
        <w:rPr>
          <w:b/>
          <w:bCs/>
          <w:sz w:val="40"/>
          <w:szCs w:val="40"/>
        </w:rPr>
        <w:t xml:space="preserve"> </w:t>
      </w:r>
    </w:p>
    <w:tbl>
      <w:tblPr>
        <w:tblW w:w="9637" w:type="dxa"/>
        <w:jc w:val="left"/>
        <w:tblInd w:w="0" w:type="dxa"/>
        <w:tblCellMar>
          <w:top w:w="0" w:type="dxa"/>
          <w:left w:w="108" w:type="dxa"/>
          <w:bottom w:w="0" w:type="dxa"/>
          <w:right w:w="108" w:type="dxa"/>
        </w:tblCellMar>
      </w:tblPr>
      <w:tblGrid>
        <w:gridCol w:w="2638"/>
        <w:gridCol w:w="6999"/>
      </w:tblGrid>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Department</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b/>
                <w:b/>
              </w:rPr>
            </w:pPr>
            <w:r>
              <w:rPr>
                <w:rFonts w:cs="Arial" w:ascii="Arial" w:hAnsi="Arial"/>
                <w:b/>
              </w:rPr>
              <w:t>Children’s Services</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Job Title</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rPr>
            </w:pPr>
            <w:r>
              <w:rPr>
                <w:rFonts w:cs="Arial" w:ascii="Arial" w:hAnsi="Arial"/>
              </w:rPr>
              <w:t>SEND Lead (School support &amp; inclusion)</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Grade</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rPr>
            </w:pPr>
            <w:r>
              <w:rPr>
                <w:rFonts w:cs="Arial" w:ascii="Arial" w:hAnsi="Arial"/>
              </w:rPr>
              <w:t>Grade I</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Primary Purpose of Job</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numPr>
                <w:ilvl w:val="0"/>
                <w:numId w:val="2"/>
              </w:numPr>
              <w:spacing w:lineRule="auto" w:line="240" w:before="0" w:after="0"/>
              <w:rPr>
                <w:rFonts w:ascii="Arial" w:hAnsi="Arial" w:eastAsia="Times New Roman" w:cs="Arial"/>
                <w:lang w:eastAsia="en-GB"/>
              </w:rPr>
            </w:pPr>
            <w:r>
              <w:rPr>
                <w:rFonts w:eastAsia="Times New Roman" w:cs="Arial" w:ascii="Arial" w:hAnsi="Arial"/>
                <w:lang w:eastAsia="en-GB"/>
              </w:rPr>
              <w:t>To support the Virtual School in improving outcomes for children with a social worker who have, or may have, Special Educational Needs and Disabilities (SEND), through a combination of casework, advice and guidance, and direct support to schools.</w:t>
            </w:r>
          </w:p>
          <w:p>
            <w:pPr>
              <w:pStyle w:val="Normal"/>
              <w:spacing w:lineRule="auto" w:line="240" w:before="0" w:after="0"/>
              <w:ind w:left="0" w:right="0" w:hanging="2880"/>
              <w:jc w:val="both"/>
              <w:rPr>
                <w:rFonts w:ascii="Arial" w:hAnsi="Arial" w:eastAsia="Times New Roman" w:cs="Arial"/>
              </w:rPr>
            </w:pPr>
            <w:r>
              <w:rPr>
                <w:rFonts w:eastAsia="Times New Roman" w:cs="Arial" w:ascii="Arial" w:hAnsi="Arial"/>
              </w:rPr>
            </w:r>
          </w:p>
          <w:p>
            <w:pPr>
              <w:pStyle w:val="Normal"/>
              <w:numPr>
                <w:ilvl w:val="0"/>
                <w:numId w:val="2"/>
              </w:numPr>
              <w:spacing w:lineRule="auto" w:line="240" w:before="0" w:after="0"/>
              <w:jc w:val="both"/>
              <w:rPr>
                <w:rFonts w:ascii="Arial" w:hAnsi="Arial" w:eastAsia="Times New Roman" w:cs="Arial"/>
              </w:rPr>
            </w:pPr>
            <w:r>
              <w:rPr>
                <w:rFonts w:eastAsia="Times New Roman" w:cs="Arial" w:ascii="Arial" w:hAnsi="Arial"/>
              </w:rPr>
              <w:t>The post-holder will hold a caseload of children and work with schools, colleagues and partners to support effective identification, provision and review of SEND via PEP meetings, with a particular focus on supporting children to remain engaged in education and have their needs met within school wherever possible.</w:t>
            </w:r>
          </w:p>
          <w:p>
            <w:pPr>
              <w:pStyle w:val="Normal"/>
              <w:spacing w:lineRule="auto" w:line="240" w:before="0" w:after="0"/>
              <w:rPr>
                <w:rFonts w:ascii="Arial" w:hAnsi="Arial" w:cs="Arial"/>
              </w:rPr>
            </w:pPr>
            <w:r>
              <w:rPr>
                <w:rFonts w:cs="Arial" w:ascii="Arial" w:hAnsi="Arial"/>
              </w:rPr>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napToGrid w:val="false"/>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t>Reporting To</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rPr>
            </w:pPr>
            <w:r>
              <w:rPr>
                <w:rFonts w:cs="Arial" w:ascii="Arial" w:hAnsi="Arial"/>
              </w:rPr>
              <w:t>Virtual School Head, Virtual School</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Direct Staffing Reports</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rPr>
            </w:pPr>
            <w:r>
              <w:rPr>
                <w:rFonts w:cs="Arial" w:ascii="Arial" w:hAnsi="Arial"/>
              </w:rPr>
              <w:t xml:space="preserve">Joint management support – Apprentice </w:t>
            </w:r>
          </w:p>
        </w:tc>
      </w:tr>
    </w:tbl>
    <w:p>
      <w:pPr>
        <w:pStyle w:val="Normal"/>
        <w:spacing w:lineRule="auto" w:line="240" w:before="0" w:after="120"/>
        <w:rPr>
          <w:rFonts w:ascii="Arial" w:hAnsi="Arial" w:cs="Arial"/>
          <w:sz w:val="16"/>
          <w:szCs w:val="16"/>
        </w:rPr>
      </w:pPr>
      <w:r>
        <w:rPr>
          <w:rFonts w:cs="Arial" w:ascii="Arial" w:hAnsi="Arial"/>
          <w:sz w:val="16"/>
          <w:szCs w:val="16"/>
        </w:rPr>
      </w:r>
    </w:p>
    <w:p>
      <w:pPr>
        <w:pStyle w:val="Normal"/>
        <w:spacing w:lineRule="auto" w:line="240" w:before="0" w:after="120"/>
        <w:rPr>
          <w:rFonts w:ascii="Arial" w:hAnsi="Arial" w:cs="Arial"/>
          <w:b/>
          <w:b/>
        </w:rPr>
      </w:pPr>
      <w:r>
        <w:rPr>
          <w:rFonts w:cs="Arial" w:ascii="Arial" w:hAnsi="Arial"/>
          <w:b/>
        </w:rPr>
        <w:t>Main Duties</w:t>
      </w:r>
    </w:p>
    <w:tbl>
      <w:tblPr>
        <w:tblW w:w="9637" w:type="dxa"/>
        <w:jc w:val="left"/>
        <w:tblInd w:w="0" w:type="dxa"/>
        <w:tblCellMar>
          <w:top w:w="0" w:type="dxa"/>
          <w:left w:w="108" w:type="dxa"/>
          <w:bottom w:w="0" w:type="dxa"/>
          <w:right w:w="108" w:type="dxa"/>
        </w:tblCellMar>
      </w:tblPr>
      <w:tblGrid>
        <w:gridCol w:w="808"/>
        <w:gridCol w:w="3764"/>
        <w:gridCol w:w="5065"/>
      </w:tblGrid>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1</w:t>
            </w:r>
          </w:p>
        </w:tc>
        <w:tc>
          <w:tcPr>
            <w:tcW w:w="8829" w:type="dxa"/>
            <w:gridSpan w:val="2"/>
            <w:tcBorders/>
            <w:shd w:fill="auto" w:val="clear"/>
          </w:tcPr>
          <w:p>
            <w:pPr>
              <w:pStyle w:val="Normal"/>
              <w:spacing w:lineRule="auto" w:line="240" w:before="0" w:after="0"/>
              <w:rPr>
                <w:rFonts w:ascii="Arial" w:hAnsi="Arial" w:cs="Arial"/>
                <w:szCs w:val="24"/>
              </w:rPr>
            </w:pPr>
            <w:r>
              <w:rPr>
                <w:rFonts w:cs="Arial" w:ascii="Arial" w:hAnsi="Arial"/>
                <w:szCs w:val="24"/>
              </w:rPr>
              <w:t xml:space="preserve">The post holder will hold and manage a caseload of children with SEND, providing advice and guidance on SEN Support, EHCP processes where appropriate. They will also have responsibility for offering advice and guidance for children on Child Protection Plans or at Child in Need, regularly liaising with Head Teachers, SENCOs, carers, senior managers, and officers in other Local Authorities.  </w:t>
            </w:r>
          </w:p>
          <w:p>
            <w:pPr>
              <w:pStyle w:val="Normal"/>
              <w:spacing w:lineRule="auto" w:line="240" w:before="0" w:after="0"/>
              <w:rPr>
                <w:rFonts w:ascii="Arial" w:hAnsi="Arial" w:cs="Arial"/>
                <w:b/>
                <w:b/>
              </w:rPr>
            </w:pPr>
            <w:r>
              <w:rPr>
                <w:rFonts w:cs="Arial" w:ascii="Arial" w:hAnsi="Arial"/>
                <w:b/>
              </w:rPr>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2</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The post holder will monitor individual cases via PEP meetings, following up actions and working with professionals to ensure that children’s needs are identified and effectively met.</w:t>
            </w:r>
          </w:p>
          <w:p>
            <w:pPr>
              <w:pStyle w:val="Normal"/>
              <w:spacing w:lineRule="auto" w:line="240" w:before="0" w:after="0"/>
              <w:rPr>
                <w:rFonts w:ascii="Arial" w:hAnsi="Arial" w:cs="Arial"/>
              </w:rPr>
            </w:pPr>
            <w:r>
              <w:rPr>
                <w:rFonts w:cs="Arial" w:ascii="Arial" w:hAnsi="Arial"/>
              </w:rPr>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3</w:t>
            </w:r>
          </w:p>
        </w:tc>
        <w:tc>
          <w:tcPr>
            <w:tcW w:w="8829" w:type="dxa"/>
            <w:gridSpan w:val="2"/>
            <w:tcBorders/>
            <w:shd w:fill="auto" w:val="clear"/>
          </w:tcPr>
          <w:p>
            <w:pPr>
              <w:pStyle w:val="Normal"/>
              <w:spacing w:lineRule="auto" w:line="240" w:before="0" w:after="0"/>
              <w:rPr>
                <w:rFonts w:ascii="Arial" w:hAnsi="Arial" w:eastAsia="Times New Roman" w:cs="Arial"/>
                <w:lang w:val="en-US" w:eastAsia="en-GB"/>
              </w:rPr>
            </w:pPr>
            <w:r>
              <w:rPr>
                <w:rFonts w:eastAsia="Times New Roman" w:cs="Arial" w:ascii="Arial" w:hAnsi="Arial"/>
                <w:lang w:val="en-US" w:eastAsia="en-GB"/>
              </w:rPr>
              <w:t>To offer advice, information and guidance to children, young people, parents, carers, agencies and others on all matters relating to SEN for children and young people 0 -25 years who are looked after or previously looked after children.</w:t>
            </w:r>
          </w:p>
          <w:p>
            <w:pPr>
              <w:pStyle w:val="Normal"/>
              <w:spacing w:lineRule="auto" w:line="240" w:before="0" w:after="0"/>
              <w:rPr>
                <w:rFonts w:ascii="Arial" w:hAnsi="Arial" w:cs="Arial"/>
              </w:rPr>
            </w:pPr>
            <w:r>
              <w:rPr>
                <w:rFonts w:cs="Arial" w:ascii="Arial" w:hAnsi="Arial"/>
              </w:rPr>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4</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The post holder will work with schools to support early identification of SEND and the implementation of appropriate strategies, reasonable adjustments and inclusive practices.</w:t>
            </w:r>
          </w:p>
          <w:p>
            <w:pPr>
              <w:pStyle w:val="Normal"/>
              <w:spacing w:lineRule="auto" w:line="240" w:before="0" w:after="0"/>
              <w:rPr>
                <w:rFonts w:ascii="Arial" w:hAnsi="Arial" w:cs="Arial"/>
              </w:rPr>
            </w:pPr>
            <w:r>
              <w:rPr>
                <w:rFonts w:cs="Arial" w:ascii="Arial" w:hAnsi="Arial"/>
              </w:rPr>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5</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The post holder will work collaboratively with colleagues across education, social care and partner agencies, including SEND services and Educational Psychology, to support coordinated approaches for children.</w:t>
            </w:r>
          </w:p>
          <w:p>
            <w:pPr>
              <w:pStyle w:val="Normal"/>
              <w:spacing w:lineRule="auto" w:line="240" w:before="0" w:after="0"/>
              <w:rPr>
                <w:rFonts w:ascii="Arial" w:hAnsi="Arial" w:cs="Arial"/>
              </w:rPr>
            </w:pPr>
            <w:r>
              <w:rPr>
                <w:rFonts w:cs="Arial" w:ascii="Arial" w:hAnsi="Arial"/>
              </w:rPr>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6</w:t>
            </w:r>
          </w:p>
        </w:tc>
        <w:tc>
          <w:tcPr>
            <w:tcW w:w="8829" w:type="dxa"/>
            <w:gridSpan w:val="2"/>
            <w:tcBorders/>
            <w:shd w:fill="auto" w:val="clear"/>
          </w:tcPr>
          <w:p>
            <w:pPr>
              <w:pStyle w:val="Normal"/>
              <w:spacing w:lineRule="auto" w:line="240" w:before="0" w:after="0"/>
              <w:rPr>
                <w:rFonts w:ascii="Arial" w:hAnsi="Arial" w:eastAsia="Times New Roman" w:cs="Arial"/>
                <w:lang w:eastAsia="en-GB"/>
              </w:rPr>
            </w:pPr>
            <w:r>
              <w:rPr>
                <w:rFonts w:eastAsia="Times New Roman" w:cs="Arial" w:ascii="Arial" w:hAnsi="Arial"/>
                <w:lang w:eastAsia="en-GB"/>
              </w:rPr>
              <w:t>The post holder will identify children at risk of exclusion, placement breakdown or escalation to specialist provision, and work with schools and partners to implement appropriate support.</w:t>
            </w:r>
          </w:p>
          <w:p>
            <w:pPr>
              <w:pStyle w:val="Normal"/>
              <w:spacing w:lineRule="auto" w:line="240" w:before="0" w:after="0"/>
              <w:rPr>
                <w:rFonts w:ascii="Arial" w:hAnsi="Arial" w:cs="Arial"/>
              </w:rPr>
            </w:pPr>
            <w:r>
              <w:rPr>
                <w:rFonts w:cs="Arial" w:ascii="Arial" w:hAnsi="Arial"/>
              </w:rPr>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7</w:t>
            </w:r>
          </w:p>
        </w:tc>
        <w:tc>
          <w:tcPr>
            <w:tcW w:w="8829" w:type="dxa"/>
            <w:gridSpan w:val="2"/>
            <w:tcBorders/>
            <w:shd w:fill="auto" w:val="clear"/>
          </w:tcPr>
          <w:p>
            <w:pPr>
              <w:pStyle w:val="Normal"/>
              <w:spacing w:lineRule="auto" w:line="240" w:before="0" w:after="0"/>
              <w:rPr>
                <w:rFonts w:ascii="Arial" w:hAnsi="Arial" w:eastAsia="Times New Roman" w:cs="Arial"/>
              </w:rPr>
            </w:pPr>
            <w:r>
              <w:rPr>
                <w:rFonts w:eastAsia="Times New Roman" w:cs="Arial" w:ascii="Arial" w:hAnsi="Arial"/>
              </w:rPr>
              <w:t>The post holder will support schools to address barriers to learning, including those linked to SEND, attendance, behaviour and emotional wellbeing, helping children to remain engaged in mainstream education where possible.</w:t>
            </w:r>
          </w:p>
          <w:p>
            <w:pPr>
              <w:pStyle w:val="Normal"/>
              <w:spacing w:lineRule="auto" w:line="240" w:before="0" w:after="0"/>
              <w:rPr>
                <w:rFonts w:ascii="Arial" w:hAnsi="Arial" w:cs="Arial"/>
              </w:rPr>
            </w:pPr>
            <w:r>
              <w:rPr>
                <w:rFonts w:cs="Arial" w:ascii="Arial" w:hAnsi="Arial"/>
              </w:rPr>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8</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To work with colleagues and schools to prevent the suspension of children with a social worker. To ensure complex issues are reported to the Virtual School Head (VSH) but take responsibility for finding appropriate solutions, liaising with relevant parties and following issues through to conclusion to ensure children’s needs are appropriately met.</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9</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Provide leadership of, develop, plan and deliver training on a wide variety of issues related to children with a social worker including attachment theory and trauma and associated strategies to schools, social workers, governors, carers and other stakeholders.</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10</w:t>
            </w:r>
          </w:p>
        </w:tc>
        <w:tc>
          <w:tcPr>
            <w:tcW w:w="8829" w:type="dxa"/>
            <w:gridSpan w:val="2"/>
            <w:tcBorders/>
            <w:shd w:fill="auto" w:val="clear"/>
          </w:tcPr>
          <w:p>
            <w:pPr>
              <w:pStyle w:val="Normal"/>
              <w:spacing w:lineRule="auto" w:line="240" w:before="0" w:after="0"/>
              <w:jc w:val="both"/>
              <w:rPr>
                <w:rFonts w:ascii="Arial" w:hAnsi="Arial" w:cs="Arial"/>
              </w:rPr>
            </w:pPr>
            <w:r>
              <w:rPr>
                <w:rFonts w:cs="Arial" w:ascii="Arial" w:hAnsi="Arial"/>
              </w:rPr>
              <w:t xml:space="preserve">To undertake any other duties as required by the Head of Service that are commensurate with the grade of the post. </w:t>
            </w:r>
          </w:p>
          <w:p>
            <w:pPr>
              <w:pStyle w:val="Normal"/>
              <w:spacing w:lineRule="auto" w:line="240" w:before="0" w:after="0"/>
              <w:rPr>
                <w:rFonts w:ascii="Arial" w:hAnsi="Arial" w:cs="Arial"/>
              </w:rPr>
            </w:pPr>
            <w:r>
              <w:rPr>
                <w:rFonts w:cs="Arial" w:ascii="Arial" w:hAnsi="Arial"/>
              </w:rPr>
            </w:r>
          </w:p>
        </w:tc>
      </w:tr>
      <w:tr>
        <w:trPr/>
        <w:tc>
          <w:tcPr>
            <w:tcW w:w="4572" w:type="dxa"/>
            <w:gridSpan w:val="2"/>
            <w:tcBorders/>
            <w:shd w:fill="auto" w:val="clear"/>
          </w:tcPr>
          <w:p>
            <w:pPr>
              <w:pStyle w:val="Normal"/>
              <w:spacing w:lineRule="auto" w:line="240" w:before="0" w:after="0"/>
              <w:rPr>
                <w:rFonts w:ascii="Arial" w:hAnsi="Arial" w:cs="Arial"/>
                <w:b/>
                <w:b/>
              </w:rPr>
            </w:pPr>
            <w:r>
              <w:rPr>
                <w:rFonts w:cs="Arial" w:ascii="Arial" w:hAnsi="Arial"/>
                <w:b/>
              </w:rPr>
              <w:t>Date Job Description prepared/updated:</w:t>
            </w:r>
          </w:p>
        </w:tc>
        <w:tc>
          <w:tcPr>
            <w:tcW w:w="5065" w:type="dxa"/>
            <w:tcBorders/>
            <w:shd w:fill="auto" w:val="clear"/>
          </w:tcPr>
          <w:p>
            <w:pPr>
              <w:pStyle w:val="Normal"/>
              <w:spacing w:lineRule="auto" w:line="240" w:before="0" w:after="0"/>
              <w:rPr>
                <w:rFonts w:ascii="Arial" w:hAnsi="Arial" w:cs="Arial"/>
                <w:b/>
                <w:b/>
              </w:rPr>
            </w:pPr>
            <w:r>
              <w:rPr>
                <w:rFonts w:cs="Arial" w:ascii="Arial" w:hAnsi="Arial"/>
                <w:b/>
              </w:rPr>
              <w:t>25/06/2026</w:t>
            </w:r>
          </w:p>
        </w:tc>
      </w:tr>
      <w:tr>
        <w:trPr/>
        <w:tc>
          <w:tcPr>
            <w:tcW w:w="4572" w:type="dxa"/>
            <w:gridSpan w:val="2"/>
            <w:tcBorders/>
            <w:shd w:fill="auto" w:val="clear"/>
          </w:tcPr>
          <w:p>
            <w:pPr>
              <w:pStyle w:val="Normal"/>
              <w:spacing w:lineRule="auto" w:line="240" w:before="0" w:after="0"/>
              <w:rPr>
                <w:rFonts w:ascii="Arial" w:hAnsi="Arial" w:cs="Arial"/>
                <w:b/>
                <w:b/>
              </w:rPr>
            </w:pPr>
            <w:r>
              <w:rPr>
                <w:rFonts w:cs="Arial" w:ascii="Arial" w:hAnsi="Arial"/>
                <w:b/>
              </w:rPr>
              <w:t>Job Description prepared by:</w:t>
            </w:r>
          </w:p>
        </w:tc>
        <w:tc>
          <w:tcPr>
            <w:tcW w:w="5065" w:type="dxa"/>
            <w:tcBorders/>
            <w:shd w:fill="auto" w:val="clear"/>
          </w:tcPr>
          <w:p>
            <w:pPr>
              <w:pStyle w:val="Normal"/>
              <w:spacing w:lineRule="auto" w:line="240" w:before="0" w:after="0"/>
              <w:rPr>
                <w:rFonts w:ascii="Arial" w:hAnsi="Arial" w:cs="Arial"/>
                <w:b/>
                <w:b/>
              </w:rPr>
            </w:pPr>
            <w:r>
              <w:rPr>
                <w:rFonts w:cs="Arial" w:ascii="Arial" w:hAnsi="Arial"/>
                <w:b/>
              </w:rPr>
              <w:t>Lindsay Nelson</w:t>
            </w:r>
          </w:p>
        </w:tc>
      </w:tr>
    </w:tbl>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Heading2"/>
        <w:rPr>
          <w:b/>
          <w:b/>
          <w:bCs/>
          <w:color w:val="auto"/>
          <w:sz w:val="40"/>
          <w:szCs w:val="40"/>
        </w:rPr>
      </w:pPr>
      <w:r>
        <w:rPr>
          <w:b/>
          <w:bCs/>
          <w:color w:val="auto"/>
          <w:sz w:val="40"/>
          <w:szCs w:val="40"/>
        </w:rPr>
        <w:t>Person Specification</w:t>
      </w:r>
    </w:p>
    <w:tbl>
      <w:tblPr>
        <w:tblW w:w="9638" w:type="dxa"/>
        <w:jc w:val="left"/>
        <w:tblInd w:w="0" w:type="dxa"/>
        <w:tblCellMar>
          <w:top w:w="0" w:type="dxa"/>
          <w:left w:w="108" w:type="dxa"/>
          <w:bottom w:w="0" w:type="dxa"/>
          <w:right w:w="108" w:type="dxa"/>
        </w:tblCellMar>
      </w:tblPr>
      <w:tblGrid>
        <w:gridCol w:w="646"/>
        <w:gridCol w:w="31"/>
        <w:gridCol w:w="918"/>
        <w:gridCol w:w="135"/>
        <w:gridCol w:w="4082"/>
        <w:gridCol w:w="374"/>
        <w:gridCol w:w="19"/>
        <w:gridCol w:w="3423"/>
        <w:gridCol w:w="10"/>
      </w:tblGrid>
      <w:tr>
        <w:trPr/>
        <w:tc>
          <w:tcPr>
            <w:tcW w:w="1595" w:type="dxa"/>
            <w:gridSpan w:val="3"/>
            <w:tcBorders/>
            <w:shd w:fill="auto" w:val="clear"/>
          </w:tcPr>
          <w:p>
            <w:pPr>
              <w:pStyle w:val="Normal"/>
              <w:spacing w:lineRule="auto" w:line="240" w:before="60" w:after="60"/>
              <w:rPr>
                <w:rFonts w:ascii="Arial" w:hAnsi="Arial" w:cs="Arial"/>
                <w:b/>
                <w:b/>
              </w:rPr>
            </w:pPr>
            <w:r>
              <w:rPr>
                <w:rFonts w:cs="Arial" w:ascii="Arial" w:hAnsi="Arial"/>
                <w:b/>
              </w:rPr>
              <w:t>Department</w:t>
            </w:r>
          </w:p>
        </w:tc>
        <w:tc>
          <w:tcPr>
            <w:tcW w:w="8033" w:type="dxa"/>
            <w:gridSpan w:val="5"/>
            <w:tcBorders/>
            <w:shd w:fill="auto" w:val="clear"/>
          </w:tcPr>
          <w:p>
            <w:pPr>
              <w:pStyle w:val="Normal"/>
              <w:spacing w:lineRule="auto" w:line="240" w:before="60" w:after="60"/>
              <w:rPr>
                <w:rFonts w:ascii="Arial" w:hAnsi="Arial" w:cs="Arial"/>
                <w:b/>
                <w:b/>
                <w:caps/>
              </w:rPr>
            </w:pPr>
            <w:r>
              <w:rPr>
                <w:rFonts w:cs="Arial" w:ascii="Arial" w:hAnsi="Arial"/>
                <w:b/>
                <w:caps/>
              </w:rPr>
              <w:t xml:space="preserve">CHILDREN’S SERVICES – VIRTUAL SCHOOL </w:t>
            </w:r>
          </w:p>
        </w:tc>
      </w:tr>
      <w:tr>
        <w:trPr/>
        <w:tc>
          <w:tcPr>
            <w:tcW w:w="1595" w:type="dxa"/>
            <w:gridSpan w:val="3"/>
            <w:tcBorders>
              <w:bottom w:val="single" w:sz="4" w:space="0" w:color="000000"/>
            </w:tcBorders>
            <w:shd w:fill="auto" w:val="clear"/>
          </w:tcPr>
          <w:p>
            <w:pPr>
              <w:pStyle w:val="Normal"/>
              <w:spacing w:lineRule="auto" w:line="240" w:before="60" w:after="240"/>
              <w:rPr>
                <w:rFonts w:ascii="Arial" w:hAnsi="Arial" w:cs="Arial"/>
                <w:b/>
                <w:b/>
              </w:rPr>
            </w:pPr>
            <w:r>
              <w:rPr>
                <w:rFonts w:cs="Arial" w:ascii="Arial" w:hAnsi="Arial"/>
                <w:b/>
              </w:rPr>
              <w:t>Job Title</w:t>
            </w:r>
          </w:p>
        </w:tc>
        <w:tc>
          <w:tcPr>
            <w:tcW w:w="8033" w:type="dxa"/>
            <w:gridSpan w:val="5"/>
            <w:tcBorders>
              <w:bottom w:val="single" w:sz="4" w:space="0" w:color="000000"/>
            </w:tcBorders>
            <w:shd w:fill="auto" w:val="clear"/>
          </w:tcPr>
          <w:p>
            <w:pPr>
              <w:pStyle w:val="Normal"/>
              <w:spacing w:lineRule="auto" w:line="240" w:before="60" w:after="60"/>
              <w:rPr>
                <w:rFonts w:cs="Arial"/>
                <w:b/>
                <w:b/>
                <w:caps/>
              </w:rPr>
            </w:pPr>
            <w:r>
              <w:rPr>
                <w:rFonts w:cs="Arial"/>
                <w:b/>
                <w:caps/>
              </w:rPr>
              <w:t>sEND lEAD – sCHOOL SUPPORT &amp; INCLUSION</w:t>
            </w:r>
          </w:p>
        </w:tc>
      </w:tr>
      <w:tr>
        <w:trPr/>
        <w:tc>
          <w:tcPr>
            <w:tcW w:w="1595" w:type="dxa"/>
            <w:gridSpan w:val="3"/>
            <w:tcBorders>
              <w:top w:val="single" w:sz="4" w:space="0" w:color="000000"/>
              <w:left w:val="single" w:sz="4" w:space="0" w:color="000000"/>
              <w:bottom w:val="single" w:sz="4" w:space="0" w:color="000000"/>
            </w:tcBorders>
            <w:shd w:fill="auto" w:val="clear"/>
          </w:tcPr>
          <w:p>
            <w:pPr>
              <w:pStyle w:val="Normal"/>
              <w:spacing w:lineRule="auto" w:line="240" w:before="60" w:after="240"/>
              <w:rPr>
                <w:rFonts w:ascii="Arial" w:hAnsi="Arial" w:cs="Arial"/>
                <w:b/>
                <w:b/>
              </w:rPr>
            </w:pPr>
            <w:r>
              <w:rPr>
                <w:rFonts w:cs="Arial" w:ascii="Arial" w:hAnsi="Arial"/>
                <w:b/>
              </w:rPr>
              <w:t>Stage One</w:t>
            </w:r>
          </w:p>
        </w:tc>
        <w:tc>
          <w:tcPr>
            <w:tcW w:w="8043" w:type="dxa"/>
            <w:gridSpan w:val="5"/>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60" w:after="60"/>
              <w:rPr/>
            </w:pPr>
            <w:r>
              <w:rPr>
                <w:rFonts w:cs="Arial" w:ascii="Arial" w:hAnsi="Arial"/>
                <w:bCs/>
              </w:rPr>
              <w:t xml:space="preserve">Candidates who are care leavers, have a disability, are ex-armed forces or are a carer (see </w:t>
            </w:r>
            <w:r>
              <w:rPr>
                <w:rStyle w:val="InternetLink"/>
              </w:rPr>
              <w:t>carers-charter-final.pdf</w:t>
            </w:r>
            <w:r>
              <w:rPr/>
              <w:t xml:space="preserve">) </w:t>
            </w:r>
            <w:r>
              <w:rPr>
                <w:rFonts w:cs="Arial" w:ascii="Arial" w:hAnsi="Arial"/>
                <w:bCs/>
              </w:rPr>
              <w:t xml:space="preserve">are guaranteed an interview if they meet the essential criteria for the role </w:t>
            </w:r>
          </w:p>
        </w:tc>
      </w:tr>
      <w:tr>
        <w:trPr/>
        <w:tc>
          <w:tcPr>
            <w:tcW w:w="6205" w:type="dxa"/>
            <w:gridSpan w:val="7"/>
            <w:tcBorders>
              <w:top w:val="single" w:sz="4" w:space="0" w:color="000000"/>
              <w:left w:val="single" w:sz="4" w:space="0" w:color="000000"/>
            </w:tcBorders>
            <w:shd w:fill="000000" w:val="clear"/>
          </w:tcPr>
          <w:p>
            <w:pPr>
              <w:pStyle w:val="Normal"/>
              <w:spacing w:lineRule="auto" w:line="240" w:before="60" w:after="60"/>
              <w:rPr>
                <w:rFonts w:ascii="Arial" w:hAnsi="Arial" w:cs="Arial"/>
                <w:b/>
                <w:b/>
                <w:color w:val="FFFFFF"/>
              </w:rPr>
            </w:pPr>
            <w:r>
              <w:rPr>
                <w:rFonts w:cs="Arial" w:ascii="Arial" w:hAnsi="Arial"/>
                <w:b/>
                <w:color w:val="FFFFFF"/>
              </w:rPr>
              <w:t>The Minimum Essential Requirements for the above Post are as Follows:</w:t>
            </w:r>
          </w:p>
        </w:tc>
        <w:tc>
          <w:tcPr>
            <w:tcW w:w="3433" w:type="dxa"/>
            <w:tcBorders>
              <w:top w:val="single" w:sz="4" w:space="0" w:color="000000"/>
              <w:left w:val="single" w:sz="4" w:space="0" w:color="000000"/>
              <w:right w:val="single" w:sz="4" w:space="0" w:color="000000"/>
            </w:tcBorders>
            <w:shd w:fill="000000" w:val="clear"/>
          </w:tcPr>
          <w:p>
            <w:pPr>
              <w:pStyle w:val="Normal"/>
              <w:spacing w:lineRule="auto" w:line="240" w:before="60" w:after="60"/>
              <w:rPr>
                <w:rFonts w:ascii="Arial" w:hAnsi="Arial" w:cs="Arial"/>
                <w:b/>
                <w:b/>
                <w:color w:val="FFFFFF"/>
              </w:rPr>
            </w:pPr>
            <w:r>
              <w:rPr>
                <w:rFonts w:cs="Arial" w:ascii="Arial" w:hAnsi="Arial"/>
                <w:b/>
                <w:color w:val="FFFFFF"/>
              </w:rPr>
              <w:t>Method of Assessment</w:t>
            </w:r>
          </w:p>
        </w:tc>
      </w:tr>
      <w:tr>
        <w:trPr>
          <w:cantSplit w:val="true"/>
        </w:trPr>
        <w:tc>
          <w:tcPr>
            <w:tcW w:w="646" w:type="dxa"/>
            <w:tcBorders>
              <w:left w:val="single" w:sz="4" w:space="0" w:color="000000"/>
              <w:bottom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1.</w:t>
            </w:r>
          </w:p>
        </w:tc>
        <w:tc>
          <w:tcPr>
            <w:tcW w:w="8992" w:type="dxa"/>
            <w:gridSpan w:val="7"/>
            <w:tcBorders>
              <w:bottom w:val="single" w:sz="4" w:space="0" w:color="000000"/>
              <w:right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Skills and Knowledge</w:t>
            </w:r>
          </w:p>
        </w:tc>
      </w:tr>
      <w:tr>
        <w:trPr>
          <w:cantSplit w:val="true"/>
        </w:trPr>
        <w:tc>
          <w:tcPr>
            <w:tcW w:w="646"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An understanding of data, how best to analyse that data &amp; its impact on performance.</w:t>
            </w:r>
          </w:p>
        </w:tc>
        <w:tc>
          <w:tcPr>
            <w:tcW w:w="343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Interview </w:t>
            </w:r>
          </w:p>
        </w:tc>
      </w:tr>
      <w:tr>
        <w:trPr>
          <w:cantSplit w:val="true"/>
        </w:trPr>
        <w:tc>
          <w:tcPr>
            <w:tcW w:w="646"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2.</w:t>
            </w:r>
          </w:p>
        </w:tc>
        <w:tc>
          <w:tcPr>
            <w:tcW w:w="5559" w:type="dxa"/>
            <w:gridSpan w:val="6"/>
            <w:tcBorders>
              <w:top w:val="single" w:sz="4" w:space="0" w:color="000000"/>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A clear understanding of the local &amp; national agenda for the delivery of high-quality educational provision in relation to the SEND code of practice</w:t>
            </w:r>
          </w:p>
        </w:tc>
        <w:tc>
          <w:tcPr>
            <w:tcW w:w="343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Application / Interview </w:t>
            </w:r>
          </w:p>
        </w:tc>
      </w:tr>
      <w:tr>
        <w:trPr>
          <w:cantSplit w:val="true"/>
        </w:trPr>
        <w:tc>
          <w:tcPr>
            <w:tcW w:w="646"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3.</w:t>
            </w:r>
          </w:p>
        </w:tc>
        <w:tc>
          <w:tcPr>
            <w:tcW w:w="5559" w:type="dxa"/>
            <w:gridSpan w:val="6"/>
            <w:tcBorders>
              <w:top w:val="single" w:sz="4" w:space="0" w:color="000000"/>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A clear understanding of Safeguarding, Child Protection &amp; Information Sharing issues</w:t>
            </w:r>
          </w:p>
        </w:tc>
        <w:tc>
          <w:tcPr>
            <w:tcW w:w="343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Interview </w:t>
            </w:r>
          </w:p>
        </w:tc>
      </w:tr>
      <w:tr>
        <w:trPr>
          <w:cantSplit w:val="true"/>
        </w:trPr>
        <w:tc>
          <w:tcPr>
            <w:tcW w:w="646" w:type="dxa"/>
            <w:tcBorders>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4.</w:t>
            </w:r>
          </w:p>
        </w:tc>
        <w:tc>
          <w:tcPr>
            <w:tcW w:w="5559" w:type="dxa"/>
            <w:gridSpan w:val="6"/>
            <w:tcBorders>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Ability to lead, write, analyse and evaluate quantitative and qualitative data and report findings clearly and succinctly.</w:t>
            </w:r>
          </w:p>
        </w:tc>
        <w:tc>
          <w:tcPr>
            <w:tcW w:w="3433" w:type="dxa"/>
            <w:tcBorders>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Application </w:t>
            </w:r>
          </w:p>
        </w:tc>
      </w:tr>
      <w:tr>
        <w:trPr>
          <w:cantSplit w:val="true"/>
        </w:trPr>
        <w:tc>
          <w:tcPr>
            <w:tcW w:w="646" w:type="dxa"/>
            <w:tcBorders>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5.</w:t>
            </w:r>
          </w:p>
        </w:tc>
        <w:tc>
          <w:tcPr>
            <w:tcW w:w="5559" w:type="dxa"/>
            <w:gridSpan w:val="6"/>
            <w:tcBorders>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Well organised, self-motivated &amp; show integrity and a high level of professionalism</w:t>
            </w:r>
          </w:p>
        </w:tc>
        <w:tc>
          <w:tcPr>
            <w:tcW w:w="3433" w:type="dxa"/>
            <w:tcBorders>
              <w:left w:val="single" w:sz="4" w:space="0" w:color="000000"/>
              <w:bottom w:val="single" w:sz="4" w:space="0" w:color="000000"/>
              <w:right w:val="single" w:sz="4" w:space="0" w:color="000000"/>
            </w:tcBorders>
            <w:shd w:fill="auto" w:val="clear"/>
          </w:tcPr>
          <w:p>
            <w:pPr>
              <w:pStyle w:val="Normal"/>
              <w:spacing w:lineRule="auto" w:line="240" w:before="120" w:after="120"/>
              <w:rPr/>
            </w:pPr>
            <w:r>
              <w:rPr>
                <w:rFonts w:eastAsia="Arial" w:cs="Arial" w:ascii="Arial" w:hAnsi="Arial"/>
              </w:rPr>
              <w:t xml:space="preserve"> </w:t>
            </w:r>
            <w:r>
              <w:rPr>
                <w:rFonts w:cs="Arial" w:ascii="Arial" w:hAnsi="Arial"/>
              </w:rPr>
              <w:t xml:space="preserve">Application / interview </w:t>
            </w:r>
          </w:p>
        </w:tc>
      </w:tr>
      <w:tr>
        <w:trPr>
          <w:cantSplit w:val="true"/>
        </w:trPr>
        <w:tc>
          <w:tcPr>
            <w:tcW w:w="646" w:type="dxa"/>
            <w:tcBorders>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6.</w:t>
            </w:r>
          </w:p>
        </w:tc>
        <w:tc>
          <w:tcPr>
            <w:tcW w:w="5559" w:type="dxa"/>
            <w:gridSpan w:val="6"/>
            <w:tcBorders>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Confident user of IT as a work tool, including the ability to produce presentations and spreadsheets</w:t>
            </w:r>
          </w:p>
        </w:tc>
        <w:tc>
          <w:tcPr>
            <w:tcW w:w="3433" w:type="dxa"/>
            <w:tcBorders>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Application </w:t>
            </w:r>
          </w:p>
        </w:tc>
      </w:tr>
      <w:tr>
        <w:trPr>
          <w:cantSplit w:val="true"/>
        </w:trPr>
        <w:tc>
          <w:tcPr>
            <w:tcW w:w="646" w:type="dxa"/>
            <w:tcBorders>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7.</w:t>
            </w:r>
          </w:p>
        </w:tc>
        <w:tc>
          <w:tcPr>
            <w:tcW w:w="5559" w:type="dxa"/>
            <w:gridSpan w:val="6"/>
            <w:tcBorders>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Good interpersonal skills including the ability to work effectively / collaboratively with a range of people &amp; agencies.</w:t>
            </w:r>
          </w:p>
        </w:tc>
        <w:tc>
          <w:tcPr>
            <w:tcW w:w="3433" w:type="dxa"/>
            <w:tcBorders>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Interview </w:t>
            </w:r>
          </w:p>
        </w:tc>
      </w:tr>
      <w:tr>
        <w:trPr>
          <w:cantSplit w:val="true"/>
        </w:trPr>
        <w:tc>
          <w:tcPr>
            <w:tcW w:w="646" w:type="dxa"/>
            <w:tcBorders>
              <w:left w:val="single" w:sz="4" w:space="0" w:color="000000"/>
            </w:tcBorders>
            <w:shd w:fill="auto" w:val="clear"/>
          </w:tcPr>
          <w:p>
            <w:pPr>
              <w:pStyle w:val="Normal"/>
              <w:snapToGrid w:val="false"/>
              <w:spacing w:lineRule="auto" w:line="240" w:before="120" w:after="120"/>
              <w:rPr>
                <w:rFonts w:ascii="Arial" w:hAnsi="Arial" w:cs="Arial"/>
              </w:rPr>
            </w:pPr>
            <w:r>
              <w:rPr>
                <w:rFonts w:cs="Arial" w:ascii="Arial" w:hAnsi="Arial"/>
              </w:rPr>
            </w:r>
          </w:p>
        </w:tc>
        <w:tc>
          <w:tcPr>
            <w:tcW w:w="5559" w:type="dxa"/>
            <w:gridSpan w:val="6"/>
            <w:tcBorders/>
            <w:shd w:fill="auto" w:val="clear"/>
          </w:tcPr>
          <w:p>
            <w:pPr>
              <w:pStyle w:val="Normal"/>
              <w:spacing w:lineRule="auto" w:line="240" w:before="120" w:after="120"/>
              <w:ind w:left="0" w:right="175" w:hanging="0"/>
              <w:rPr/>
            </w:pPr>
            <w:r>
              <w:rPr>
                <w:rFonts w:cs="Arial" w:ascii="Arial" w:hAnsi="Arial"/>
                <w:b/>
              </w:rPr>
              <w:t>Competencies</w:t>
            </w:r>
            <w:r>
              <w:rPr>
                <w:rFonts w:cs="Arial" w:ascii="Arial" w:hAnsi="Arial"/>
              </w:rPr>
              <w:t xml:space="preserve"> – Please note the council’s corporate competencies, which are essential for all roles, are below in the Core Competencies section </w:t>
            </w:r>
          </w:p>
        </w:tc>
        <w:tc>
          <w:tcPr>
            <w:tcW w:w="3433" w:type="dxa"/>
            <w:tcBorders>
              <w:left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963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2.</w:t>
              <w:tab/>
              <w:t>Experience/Qualifications/Training etc</w:t>
            </w:r>
          </w:p>
        </w:tc>
      </w:tr>
      <w:tr>
        <w:trPr>
          <w:cantSplit w:val="true"/>
        </w:trPr>
        <w:tc>
          <w:tcPr>
            <w:tcW w:w="677" w:type="dxa"/>
            <w:gridSpan w:val="2"/>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commentRangeStart w:id="0"/>
            <w:commentRangeStart w:id="1"/>
            <w:r>
              <w:rPr>
                <w:rFonts w:cs="Arial" w:ascii="Arial" w:hAnsi="Arial"/>
              </w:rPr>
              <w:t xml:space="preserve">Educated to degree standard including a relevant professional qualification (PGCE) </w:t>
            </w:r>
            <w:r>
              <w:rPr>
                <w:rFonts w:cs="Arial" w:ascii="Arial" w:hAnsi="Arial"/>
                <w:vanish w:val="false"/>
              </w:rPr>
            </w:r>
            <w:commentRangeEnd w:id="1"/>
            <w:r>
              <w:commentReference w:id="1"/>
            </w:r>
            <w:commentRangeEnd w:id="0"/>
            <w:r>
              <w:commentReference w:id="0"/>
            </w:r>
            <w:r>
              <w:rPr>
                <w:rFonts w:cs="Arial" w:ascii="Arial" w:hAnsi="Arial"/>
                <w:vanish w:val="false"/>
              </w:rPr>
            </w:r>
          </w:p>
        </w:tc>
        <w:tc>
          <w:tcPr>
            <w:tcW w:w="3452"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 / Proof of Qualification</w:t>
            </w:r>
          </w:p>
        </w:tc>
      </w:tr>
      <w:tr>
        <w:trPr>
          <w:cantSplit w:val="true"/>
        </w:trPr>
        <w:tc>
          <w:tcPr>
            <w:tcW w:w="677" w:type="dxa"/>
            <w:gridSpan w:val="2"/>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2.</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commentRangeStart w:id="2"/>
            <w:commentRangeStart w:id="3"/>
            <w:r>
              <w:rPr>
                <w:rFonts w:cs="Arial" w:ascii="Arial" w:hAnsi="Arial"/>
              </w:rPr>
              <w:t>Qualified Teacher Status (QTS)</w:t>
            </w:r>
            <w:r>
              <w:rPr>
                <w:rFonts w:cs="Arial" w:ascii="Arial" w:hAnsi="Arial"/>
                <w:vanish w:val="false"/>
              </w:rPr>
            </w:r>
            <w:commentRangeEnd w:id="3"/>
            <w:r>
              <w:commentReference w:id="3"/>
            </w:r>
            <w:commentRangeEnd w:id="2"/>
            <w:r>
              <w:commentReference w:id="2"/>
            </w:r>
            <w:r>
              <w:rPr>
                <w:rFonts w:cs="Arial" w:ascii="Arial" w:hAnsi="Arial"/>
                <w:vanish w:val="false"/>
              </w:rPr>
            </w:r>
          </w:p>
        </w:tc>
        <w:tc>
          <w:tcPr>
            <w:tcW w:w="3452"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 / Proof of Status</w:t>
            </w:r>
          </w:p>
        </w:tc>
      </w:tr>
      <w:tr>
        <w:trPr>
          <w:cantSplit w:val="true"/>
        </w:trPr>
        <w:tc>
          <w:tcPr>
            <w:tcW w:w="677" w:type="dxa"/>
            <w:gridSpan w:val="2"/>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3. </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Evidence of Continuing Professional Development (CPD).</w:t>
            </w:r>
          </w:p>
        </w:tc>
        <w:tc>
          <w:tcPr>
            <w:tcW w:w="3452"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 / Interview</w:t>
            </w:r>
          </w:p>
        </w:tc>
      </w:tr>
      <w:tr>
        <w:trPr>
          <w:cantSplit w:val="true"/>
        </w:trPr>
        <w:tc>
          <w:tcPr>
            <w:tcW w:w="677" w:type="dxa"/>
            <w:gridSpan w:val="2"/>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4.</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Qualified SENCO </w:t>
            </w:r>
          </w:p>
        </w:tc>
        <w:tc>
          <w:tcPr>
            <w:tcW w:w="3452"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 / Interview</w:t>
            </w:r>
          </w:p>
        </w:tc>
      </w:tr>
      <w:tr>
        <w:trPr>
          <w:cantSplit w:val="true"/>
        </w:trPr>
        <w:tc>
          <w:tcPr>
            <w:tcW w:w="963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3.</w:t>
              <w:tab/>
              <w:t>Work Related Circumstances</w:t>
            </w:r>
          </w:p>
        </w:tc>
      </w:tr>
      <w:tr>
        <w:trPr>
          <w:cantSplit w:val="true"/>
        </w:trPr>
        <w:tc>
          <w:tcPr>
            <w:tcW w:w="677" w:type="dxa"/>
            <w:gridSpan w:val="2"/>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All posts require the job holder to undertake mandatory training for the role and to regularly review their developmental needs in conjunction with their line manager. Development of our employees plays a key role in delivering our services</w:t>
            </w:r>
          </w:p>
        </w:tc>
        <w:tc>
          <w:tcPr>
            <w:tcW w:w="3452"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2.</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The Council has a framework of Values &amp; Behaviours that guide our behaviour and decision making to help achieve our vision.  All employees are expected to be mindful of these when undertaking their work.</w:t>
            </w:r>
          </w:p>
        </w:tc>
        <w:tc>
          <w:tcPr>
            <w:tcW w:w="3452"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3.</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This role requires the job holder to occasionally work outside of normal office hours, for example at evenings and weekends, to meet the needs of the service. </w:t>
            </w:r>
          </w:p>
        </w:tc>
        <w:tc>
          <w:tcPr>
            <w:tcW w:w="3452"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Interview  </w:t>
            </w:r>
          </w:p>
        </w:tc>
      </w:tr>
      <w:tr>
        <w:trPr>
          <w:cantSplit w:val="true"/>
        </w:trPr>
        <w:tc>
          <w:tcPr>
            <w:tcW w:w="677" w:type="dxa"/>
            <w:gridSpan w:val="2"/>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4.</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This post is subject to [enhanced] disclosure from the Disclosure &amp; Barring Service with check of relevant barred list(s)</w:t>
            </w:r>
          </w:p>
        </w:tc>
        <w:tc>
          <w:tcPr>
            <w:tcW w:w="3452"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5. </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This post has been designated an essential car user post. You must hold a full, current and valid driving licence and a vehicle with a current valid MOT certificate. You will also need adequate vehicle insurance cover to comply with the council’s requirements, in line with the Travel Costs Reimbursement Policy</w:t>
            </w:r>
          </w:p>
        </w:tc>
        <w:tc>
          <w:tcPr>
            <w:tcW w:w="3452"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trHeight w:val="653" w:hRule="atLeast"/>
        </w:trPr>
        <w:tc>
          <w:tcPr>
            <w:tcW w:w="1730" w:type="dxa"/>
            <w:gridSpan w:val="4"/>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STAGE TWO</w:t>
            </w:r>
          </w:p>
        </w:tc>
        <w:tc>
          <w:tcPr>
            <w:tcW w:w="7908"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cs="Arial"/>
              </w:rPr>
            </w:pPr>
            <w:r>
              <w:rPr>
                <w:rFonts w:cs="Arial" w:ascii="Arial" w:hAnsi="Arial"/>
              </w:rPr>
              <w:t>Will only be used in the event of a large number of applicants meeting the minimum essential requirements</w:t>
            </w:r>
          </w:p>
        </w:tc>
      </w:tr>
      <w:tr>
        <w:trPr/>
        <w:tc>
          <w:tcPr>
            <w:tcW w:w="6205" w:type="dxa"/>
            <w:gridSpan w:val="7"/>
            <w:tcBorders>
              <w:top w:val="single" w:sz="4" w:space="0" w:color="000000"/>
              <w:left w:val="single" w:sz="4" w:space="0" w:color="000000"/>
              <w:bottom w:val="single" w:sz="4" w:space="0" w:color="000000"/>
            </w:tcBorders>
            <w:shd w:fill="0C0C0C" w:val="clear"/>
          </w:tcPr>
          <w:p>
            <w:pPr>
              <w:pStyle w:val="Normal"/>
              <w:spacing w:lineRule="auto" w:line="240" w:before="120" w:after="120"/>
              <w:rPr>
                <w:rFonts w:ascii="Arial" w:hAnsi="Arial" w:cs="Arial"/>
                <w:b/>
                <w:b/>
                <w:color w:val="FFFFFF"/>
              </w:rPr>
            </w:pPr>
            <w:r>
              <w:rPr>
                <w:rFonts w:cs="Arial" w:ascii="Arial" w:hAnsi="Arial"/>
                <w:b/>
                <w:color w:val="FFFFFF"/>
              </w:rPr>
              <w:t>Additional Requirements</w:t>
            </w:r>
          </w:p>
        </w:tc>
        <w:tc>
          <w:tcPr>
            <w:tcW w:w="3433" w:type="dxa"/>
            <w:tcBorders>
              <w:top w:val="single" w:sz="4" w:space="0" w:color="000000"/>
              <w:left w:val="single" w:sz="4" w:space="0" w:color="000000"/>
              <w:bottom w:val="single" w:sz="4" w:space="0" w:color="000000"/>
              <w:right w:val="single" w:sz="4" w:space="0" w:color="000000"/>
            </w:tcBorders>
            <w:shd w:fill="0C0C0C" w:val="clear"/>
          </w:tcPr>
          <w:p>
            <w:pPr>
              <w:pStyle w:val="Normal"/>
              <w:spacing w:lineRule="auto" w:line="240" w:before="120" w:after="120"/>
              <w:rPr>
                <w:rFonts w:ascii="Arial" w:hAnsi="Arial" w:cs="Arial"/>
                <w:b/>
                <w:b/>
                <w:color w:val="FFFFFF"/>
              </w:rPr>
            </w:pPr>
            <w:r>
              <w:rPr>
                <w:rFonts w:cs="Arial" w:ascii="Arial" w:hAnsi="Arial"/>
                <w:b/>
                <w:color w:val="FFFFFF"/>
              </w:rPr>
              <w:t>Method of Assessment</w:t>
            </w:r>
          </w:p>
        </w:tc>
      </w:tr>
      <w:tr>
        <w:trPr>
          <w:cantSplit w:val="true"/>
        </w:trPr>
        <w:tc>
          <w:tcPr>
            <w:tcW w:w="963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1.</w:t>
              <w:tab/>
              <w:t>Skills and Knowledge</w:t>
            </w:r>
          </w:p>
        </w:tc>
      </w:tr>
      <w:tr>
        <w:trPr>
          <w:cantSplit w:val="true"/>
        </w:trPr>
        <w:tc>
          <w:tcPr>
            <w:tcW w:w="646"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Devising and implementing effective monitoring systems to evaluate impact.</w:t>
            </w:r>
          </w:p>
        </w:tc>
        <w:tc>
          <w:tcPr>
            <w:tcW w:w="343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Application / interview </w:t>
            </w:r>
          </w:p>
        </w:tc>
      </w:tr>
      <w:tr>
        <w:trPr>
          <w:cantSplit w:val="true"/>
        </w:trPr>
        <w:tc>
          <w:tcPr>
            <w:tcW w:w="963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2.</w:t>
              <w:tab/>
              <w:t>Experience/Qualifications/Training etc</w:t>
            </w:r>
          </w:p>
        </w:tc>
      </w:tr>
      <w:tr>
        <w:trPr>
          <w:cantSplit w:val="true"/>
        </w:trPr>
        <w:tc>
          <w:tcPr>
            <w:tcW w:w="646"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Qualifications in a related specialist field such as SEN, inclusion, safeguarding or social care. </w:t>
            </w:r>
          </w:p>
        </w:tc>
        <w:tc>
          <w:tcPr>
            <w:tcW w:w="343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 / Proof of qualification</w:t>
            </w:r>
          </w:p>
        </w:tc>
      </w:tr>
      <w:tr>
        <w:trPr>
          <w:cantSplit w:val="true"/>
        </w:trPr>
        <w:tc>
          <w:tcPr>
            <w:tcW w:w="646"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2.</w:t>
            </w:r>
          </w:p>
        </w:tc>
        <w:tc>
          <w:tcPr>
            <w:tcW w:w="5559" w:type="dxa"/>
            <w:gridSpan w:val="6"/>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Designated Teacher within a school  </w:t>
            </w:r>
          </w:p>
        </w:tc>
        <w:tc>
          <w:tcPr>
            <w:tcW w:w="343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Application </w:t>
            </w:r>
          </w:p>
        </w:tc>
      </w:tr>
      <w:tr>
        <w:trPr/>
        <w:tc>
          <w:tcPr>
            <w:tcW w:w="5812" w:type="dxa"/>
            <w:gridSpan w:val="5"/>
            <w:tcBorders/>
            <w:shd w:fill="auto" w:val="clear"/>
          </w:tcPr>
          <w:p>
            <w:pPr>
              <w:pStyle w:val="Normal"/>
              <w:spacing w:lineRule="auto" w:line="240" w:before="0" w:after="0"/>
              <w:rPr>
                <w:rFonts w:ascii="Arial" w:hAnsi="Arial" w:cs="Arial"/>
                <w:b/>
                <w:b/>
              </w:rPr>
            </w:pPr>
            <w:r>
              <w:rPr>
                <w:rFonts w:cs="Arial" w:ascii="Arial" w:hAnsi="Arial"/>
                <w:b/>
              </w:rPr>
              <w:t xml:space="preserve">Date Person Specification prepared/updated </w:t>
            </w:r>
          </w:p>
        </w:tc>
        <w:tc>
          <w:tcPr>
            <w:tcW w:w="3816" w:type="dxa"/>
            <w:gridSpan w:val="3"/>
            <w:tcBorders/>
            <w:shd w:fill="auto" w:val="clear"/>
          </w:tcPr>
          <w:p>
            <w:pPr>
              <w:pStyle w:val="Normal"/>
              <w:spacing w:lineRule="auto" w:line="240" w:before="0" w:after="0"/>
              <w:rPr>
                <w:rFonts w:ascii="Arial" w:hAnsi="Arial" w:cs="Arial"/>
                <w:b/>
                <w:b/>
              </w:rPr>
            </w:pPr>
            <w:r>
              <w:rPr>
                <w:rFonts w:cs="Arial" w:ascii="Arial" w:hAnsi="Arial"/>
                <w:b/>
              </w:rPr>
              <w:t>25/06/2026</w:t>
            </w:r>
          </w:p>
        </w:tc>
      </w:tr>
      <w:tr>
        <w:trPr/>
        <w:tc>
          <w:tcPr>
            <w:tcW w:w="5812" w:type="dxa"/>
            <w:gridSpan w:val="5"/>
            <w:tcBorders/>
            <w:shd w:fill="auto" w:val="clear"/>
          </w:tcPr>
          <w:p>
            <w:pPr>
              <w:pStyle w:val="Normal"/>
              <w:spacing w:lineRule="auto" w:line="240" w:before="0" w:after="0"/>
              <w:rPr>
                <w:rFonts w:ascii="Arial" w:hAnsi="Arial" w:cs="Arial"/>
                <w:b/>
                <w:b/>
              </w:rPr>
            </w:pPr>
            <w:r>
              <w:rPr>
                <w:rFonts w:cs="Arial" w:ascii="Arial" w:hAnsi="Arial"/>
                <w:b/>
              </w:rPr>
              <w:t>Person Specification prepared by</w:t>
            </w:r>
          </w:p>
        </w:tc>
        <w:tc>
          <w:tcPr>
            <w:tcW w:w="3816" w:type="dxa"/>
            <w:gridSpan w:val="3"/>
            <w:tcBorders/>
            <w:shd w:fill="auto" w:val="clear"/>
          </w:tcPr>
          <w:p>
            <w:pPr>
              <w:pStyle w:val="Normal"/>
              <w:spacing w:lineRule="auto" w:line="240" w:before="0" w:after="0"/>
              <w:rPr>
                <w:rFonts w:ascii="Arial" w:hAnsi="Arial" w:cs="Arial"/>
                <w:b/>
                <w:b/>
              </w:rPr>
            </w:pPr>
            <w:r>
              <w:rPr>
                <w:rFonts w:cs="Arial" w:ascii="Arial" w:hAnsi="Arial"/>
                <w:b/>
              </w:rPr>
              <w:t>Lindsay Nelson</w:t>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t>These core competencies are considered essential for all roles within Bolton Council. Please be prepared to be assessed on any of these during the interview process and, for the successful applicant, throughout the probationary period.</w:t>
      </w:r>
    </w:p>
    <w:p>
      <w:pPr>
        <w:pStyle w:val="Normal"/>
        <w:keepLines/>
        <w:spacing w:lineRule="auto" w:line="240" w:before="0" w:after="0"/>
        <w:rPr>
          <w:rFonts w:ascii="Arial" w:hAnsi="Arial" w:cs="Arial"/>
          <w:b/>
          <w:b/>
        </w:rPr>
      </w:pPr>
      <w:r>
        <w:rPr>
          <w:rFonts w:cs="Arial" w:ascii="Arial" w:hAnsi="Arial"/>
          <w:b/>
        </w:rPr>
      </w:r>
    </w:p>
    <w:p>
      <w:pPr>
        <w:pStyle w:val="Normal"/>
        <w:keepLines/>
        <w:spacing w:lineRule="auto" w:line="240" w:before="0" w:after="0"/>
        <w:rPr>
          <w:rFonts w:ascii="Arial" w:hAnsi="Arial" w:cs="Arial"/>
          <w:b/>
          <w:b/>
        </w:rPr>
      </w:pPr>
      <w:r>
        <w:rPr>
          <w:rFonts w:cs="Arial" w:ascii="Arial" w:hAnsi="Arial"/>
          <w:b/>
        </w:rPr>
        <w:t>Developing Self &amp; Others</w:t>
      </w:r>
    </w:p>
    <w:p>
      <w:pPr>
        <w:pStyle w:val="Normal"/>
        <w:spacing w:lineRule="auto" w:line="240" w:before="0" w:after="0"/>
        <w:rPr>
          <w:rFonts w:ascii="Arial" w:hAnsi="Arial" w:cs="Arial"/>
        </w:rPr>
      </w:pPr>
      <w:r>
        <w:rPr>
          <w:rFonts w:cs="Arial" w:ascii="Arial" w:hAnsi="Arial"/>
        </w:rPr>
        <w:t>Promote a learning environment to embed a learning culture.  Support others to develop their skills and knowledge to fulfil their potential. Actively pursue your own development. Support and promote the principles of Investors in People. </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b/>
        </w:rPr>
      </w:pPr>
      <w:r>
        <w:rPr>
          <w:rFonts w:cs="Arial" w:ascii="Arial" w:hAnsi="Arial"/>
          <w:b/>
        </w:rPr>
        <w:t>Civil Contingencies</w:t>
      </w:r>
    </w:p>
    <w:p>
      <w:pPr>
        <w:pStyle w:val="Normal"/>
        <w:spacing w:lineRule="auto" w:line="240" w:before="0" w:after="0"/>
        <w:rPr>
          <w:rFonts w:ascii="Arial" w:hAnsi="Arial" w:cs="Arial"/>
        </w:rPr>
      </w:pPr>
      <w:r>
        <w:rPr>
          <w:rFonts w:cs="Arial" w:ascii="Arial" w:hAnsi="Arial"/>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keepLines/>
        <w:spacing w:lineRule="auto" w:line="240" w:before="0" w:after="0"/>
        <w:ind w:left="1069" w:right="0" w:hanging="0"/>
        <w:rPr>
          <w:rFonts w:ascii="Arial" w:hAnsi="Arial" w:cs="Arial"/>
        </w:rPr>
      </w:pPr>
      <w:r>
        <w:rPr>
          <w:rFonts w:cs="Arial" w:ascii="Arial" w:hAnsi="Arial"/>
        </w:rPr>
      </w:r>
    </w:p>
    <w:p>
      <w:pPr>
        <w:pStyle w:val="Normal"/>
        <w:keepLines/>
        <w:spacing w:lineRule="auto" w:line="240" w:before="0" w:after="0"/>
        <w:rPr>
          <w:rFonts w:ascii="Arial" w:hAnsi="Arial" w:cs="Arial"/>
          <w:b/>
          <w:b/>
        </w:rPr>
      </w:pPr>
      <w:r>
        <w:rPr>
          <w:rFonts w:cs="Arial" w:ascii="Arial" w:hAnsi="Arial"/>
          <w:b/>
        </w:rPr>
        <w:t>Equality &amp; Diversity</w:t>
      </w:r>
    </w:p>
    <w:p>
      <w:pPr>
        <w:pStyle w:val="Normal"/>
        <w:spacing w:lineRule="auto" w:line="240" w:before="0" w:after="0"/>
        <w:rPr>
          <w:rFonts w:ascii="Arial" w:hAnsi="Arial" w:cs="Arial"/>
        </w:rPr>
      </w:pPr>
      <w:r>
        <w:rPr>
          <w:rFonts w:cs="Arial" w:ascii="Arial" w:hAnsi="Arial"/>
        </w:rPr>
        <w:t>Uphold the principles of fairness and the Equality Act in all undertakings as a Bolton Council employee, including providing a fair, accessible service irrespective of customer’s race, religion, gender, sexuality, disability or age.</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b/>
        </w:rPr>
      </w:pPr>
      <w:r>
        <w:rPr>
          <w:rFonts w:cs="Arial" w:ascii="Arial" w:hAnsi="Arial"/>
          <w:b/>
        </w:rPr>
        <w:t>Customer Care</w:t>
      </w:r>
    </w:p>
    <w:p>
      <w:pPr>
        <w:pStyle w:val="Normal"/>
        <w:spacing w:lineRule="auto" w:line="240" w:before="0" w:after="0"/>
        <w:rPr>
          <w:rFonts w:ascii="Arial" w:hAnsi="Arial" w:cs="Arial"/>
        </w:rPr>
      </w:pPr>
      <w:r>
        <w:rPr>
          <w:rFonts w:cs="Arial" w:ascii="Arial" w:hAnsi="Arial"/>
        </w:rPr>
        <w:t>The ability to fully understand, assess and resolve the needs of all customers including those who present with complex situations, in a manner that respects dignity and expresses a caring &amp; professional image.</w:t>
      </w:r>
    </w:p>
    <w:p>
      <w:pPr>
        <w:pStyle w:val="Normal"/>
        <w:spacing w:lineRule="auto" w:line="240" w:before="0" w:after="0"/>
        <w:rPr>
          <w:rFonts w:ascii="Arial" w:hAnsi="Arial" w:cs="Arial"/>
          <w:color w:val="0000FF"/>
          <w:u w:val="single"/>
        </w:rPr>
      </w:pPr>
      <w:r>
        <w:rPr>
          <w:rFonts w:cs="Arial" w:ascii="Arial" w:hAnsi="Arial"/>
          <w:color w:val="0000FF"/>
          <w:u w:val="single"/>
        </w:rPr>
      </w:r>
    </w:p>
    <w:p>
      <w:pPr>
        <w:pStyle w:val="Normal"/>
        <w:keepLines/>
        <w:spacing w:lineRule="auto" w:line="240" w:before="0" w:after="0"/>
        <w:rPr>
          <w:rFonts w:ascii="Arial" w:hAnsi="Arial" w:cs="Arial"/>
          <w:b/>
          <w:b/>
        </w:rPr>
      </w:pPr>
      <w:r>
        <w:rPr>
          <w:rFonts w:cs="Arial" w:ascii="Arial" w:hAnsi="Arial"/>
          <w:b/>
        </w:rPr>
        <w:t>Health &amp; Safety</w:t>
      </w:r>
    </w:p>
    <w:p>
      <w:pPr>
        <w:pStyle w:val="Normal"/>
        <w:spacing w:lineRule="auto" w:line="240" w:before="0" w:after="0"/>
        <w:rPr>
          <w:rFonts w:ascii="Arial" w:hAnsi="Arial" w:cs="Arial"/>
        </w:rPr>
      </w:pPr>
      <w:r>
        <w:rPr>
          <w:rFonts w:cs="Arial" w:ascii="Arial" w:hAnsi="Arial"/>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keepLines/>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bCs/>
        </w:rPr>
      </w:pPr>
      <w:r>
        <w:rPr>
          <w:rFonts w:cs="Arial" w:ascii="Arial" w:hAnsi="Arial"/>
          <w:b/>
          <w:bCs/>
        </w:rPr>
        <w:t>Data Protection and Confidentiality</w:t>
      </w:r>
    </w:p>
    <w:p>
      <w:pPr>
        <w:pStyle w:val="Normal"/>
        <w:spacing w:lineRule="auto" w:line="240" w:before="0" w:after="0"/>
        <w:rPr/>
      </w:pPr>
      <w:r>
        <w:rPr>
          <w:rFonts w:cs="Arial" w:ascii="Arial" w:hAnsi="Arial"/>
        </w:rPr>
        <w:t>Ensure</w:t>
      </w:r>
      <w:r>
        <w:rPr>
          <w:rFonts w:cs="Arial" w:ascii="Arial" w:hAnsi="Arial"/>
          <w:lang w:val="en-US"/>
        </w:rPr>
        <w:t xml:space="preserve"> that any personal data or confidential data you hold is kept securely and is not disclosed, whether electronically, verbally or in writing, to any unauthorised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lang w:val="en-US"/>
        </w:rPr>
      </w:pPr>
      <w:r>
        <w:rPr>
          <w:rFonts w:cs="Arial" w:ascii="Arial" w:hAnsi="Arial"/>
          <w:b/>
          <w:lang w:val="en-US"/>
        </w:rPr>
        <w:t>Fluency Duty</w:t>
      </w:r>
    </w:p>
    <w:p>
      <w:pPr>
        <w:pStyle w:val="Normal"/>
        <w:spacing w:lineRule="auto" w:line="240" w:before="0" w:after="0"/>
        <w:rPr/>
      </w:pPr>
      <w:r>
        <w:rPr>
          <w:rFonts w:cs="Arial" w:ascii="Arial" w:hAnsi="Arial"/>
        </w:rPr>
        <w:t>Should you be required, as a regular and intrinsic part of your role, to speak to members of the public in English, you must be able to converse at ease with customers and provide advice in accurate spoken English, as required by</w:t>
      </w:r>
      <w:r>
        <w:rPr>
          <w:rFonts w:cs="Arial" w:ascii="Arial" w:hAnsi="Arial"/>
          <w:i/>
        </w:rPr>
        <w:t xml:space="preserve"> </w:t>
      </w:r>
      <w:r>
        <w:rPr>
          <w:rFonts w:cs="Arial" w:ascii="Arial" w:hAnsi="Arial"/>
        </w:rPr>
        <w:t>The Immigration Act 2016.</w:t>
      </w:r>
    </w:p>
    <w:p>
      <w:pPr>
        <w:pStyle w:val="Normal"/>
        <w:spacing w:lineRule="auto" w:line="240" w:before="0" w:after="0"/>
        <w:rPr>
          <w:rFonts w:ascii="Arial" w:hAnsi="Arial" w:cs="Arial"/>
          <w:lang w:val="en-US"/>
        </w:rPr>
      </w:pPr>
      <w:r>
        <w:rPr>
          <w:rFonts w:cs="Arial" w:ascii="Arial" w:hAnsi="Arial"/>
          <w:lang w:val="en-US"/>
        </w:rPr>
      </w:r>
    </w:p>
    <w:p>
      <w:pPr>
        <w:pStyle w:val="Normal"/>
        <w:spacing w:lineRule="auto" w:line="240" w:before="0" w:after="0"/>
        <w:rPr>
          <w:rFonts w:ascii="Arial" w:hAnsi="Arial" w:cs="Arial"/>
          <w:b/>
          <w:b/>
        </w:rPr>
      </w:pPr>
      <w:r>
        <w:rPr>
          <w:rFonts w:cs="Arial" w:ascii="Arial" w:hAnsi="Arial"/>
          <w:b/>
        </w:rPr>
        <w:t>Working Hours</w:t>
      </w:r>
    </w:p>
    <w:p>
      <w:pPr>
        <w:pStyle w:val="Normal"/>
        <w:spacing w:lineRule="auto" w:line="240" w:before="0" w:after="0"/>
        <w:rPr>
          <w:rFonts w:ascii="Arial" w:hAnsi="Arial" w:cs="Arial"/>
        </w:rPr>
      </w:pPr>
      <w:r>
        <w:rPr>
          <w:rFonts w:cs="Arial" w:ascii="Arial" w:hAnsi="Arial"/>
        </w:rPr>
        <w:t>The nature and demands of the role are not always predictable and there will be an expectation that work will be required outside of normal hours from time to time.</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bCs/>
          <w:iCs/>
        </w:rPr>
      </w:pPr>
      <w:r>
        <w:rPr>
          <w:rFonts w:cs="Arial" w:ascii="Arial" w:hAnsi="Arial"/>
          <w:b/>
          <w:bCs/>
          <w:iCs/>
        </w:rPr>
        <w:t>Safeguarding</w:t>
      </w:r>
    </w:p>
    <w:p>
      <w:pPr>
        <w:pStyle w:val="Normal"/>
        <w:rPr>
          <w:rFonts w:ascii="Arial" w:hAnsi="Arial" w:cs="Arial"/>
          <w:bCs/>
          <w:iCs/>
        </w:rPr>
      </w:pPr>
      <w:r>
        <w:rPr>
          <w:rFonts w:cs="Arial" w:ascii="Arial" w:hAnsi="Arial"/>
          <w:bCs/>
          <w:iCs/>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p>
      <w:pPr>
        <w:pStyle w:val="Normal"/>
        <w:rPr/>
      </w:pPr>
      <w:r>
        <w:rPr>
          <w:rFonts w:cs="Arial" w:ascii="Arial" w:hAnsi="Arial"/>
          <w:b/>
          <w:bCs/>
          <w:color w:val="10191C"/>
          <w:shd w:fill="FFFFFF" w:val="clear"/>
        </w:rPr>
        <w:t>The values of an organisation are those key principles by which people are expected to work to day to day. They’re our culture and help define what is expected of each and every one of us</w:t>
      </w:r>
      <w:r>
        <w:rPr>
          <w:rFonts w:cs="Arial" w:ascii="Arial" w:hAnsi="Arial"/>
          <w:color w:val="10191C"/>
          <w:shd w:fill="FFFFFF" w:val="clear"/>
        </w:rPr>
        <w:t>.</w:t>
      </w:r>
    </w:p>
    <w:p>
      <w:pPr>
        <w:pStyle w:val="Normal"/>
        <w:rPr/>
      </w:pPr>
      <w:r>
        <w:rPr/>
        <w:drawing>
          <wp:inline distT="0" distB="0" distL="0" distR="0">
            <wp:extent cx="4911090" cy="130556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4" t="-14" r="-4" b="-14"/>
                    <a:stretch>
                      <a:fillRect/>
                    </a:stretch>
                  </pic:blipFill>
                  <pic:spPr bwMode="auto">
                    <a:xfrm>
                      <a:off x="0" y="0"/>
                      <a:ext cx="4911090" cy="1305560"/>
                    </a:xfrm>
                    <a:prstGeom prst="rect">
                      <a:avLst/>
                    </a:prstGeom>
                  </pic:spPr>
                </pic:pic>
              </a:graphicData>
            </a:graphic>
          </wp:inline>
        </w:drawing>
      </w:r>
    </w:p>
    <w:p>
      <w:pPr>
        <w:pStyle w:val="Normal"/>
        <w:rPr/>
      </w:pPr>
      <w:r>
        <w:rPr/>
        <w:drawing>
          <wp:inline distT="0" distB="0" distL="0" distR="0">
            <wp:extent cx="4863465" cy="1339850"/>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rcRect l="-4" t="-13" r="-4" b="-13"/>
                    <a:stretch>
                      <a:fillRect/>
                    </a:stretch>
                  </pic:blipFill>
                  <pic:spPr bwMode="auto">
                    <a:xfrm>
                      <a:off x="0" y="0"/>
                      <a:ext cx="4863465" cy="1339850"/>
                    </a:xfrm>
                    <a:prstGeom prst="rect">
                      <a:avLst/>
                    </a:prstGeom>
                  </pic:spPr>
                </pic:pic>
              </a:graphicData>
            </a:graphic>
          </wp:inline>
        </w:drawing>
      </w:r>
      <w:r>
        <w:rPr/>
        <w:drawing>
          <wp:inline distT="0" distB="0" distL="0" distR="0">
            <wp:extent cx="4820920" cy="1193800"/>
            <wp:effectExtent l="0" t="0" r="0" b="0"/>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5"/>
                    <a:srcRect l="-4" t="-15" r="-4" b="-15"/>
                    <a:stretch>
                      <a:fillRect/>
                    </a:stretch>
                  </pic:blipFill>
                  <pic:spPr bwMode="auto">
                    <a:xfrm>
                      <a:off x="0" y="0"/>
                      <a:ext cx="4820920" cy="1193800"/>
                    </a:xfrm>
                    <a:prstGeom prst="rect">
                      <a:avLst/>
                    </a:prstGeom>
                  </pic:spPr>
                </pic:pic>
              </a:graphicData>
            </a:graphic>
          </wp:inline>
        </w:drawing>
      </w:r>
      <w:r>
        <w:rPr/>
        <w:drawing>
          <wp:inline distT="0" distB="0" distL="0" distR="0">
            <wp:extent cx="4975860" cy="1219835"/>
            <wp:effectExtent l="0" t="0" r="0" b="0"/>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6"/>
                    <a:srcRect l="-4" t="-15" r="-4" b="-15"/>
                    <a:stretch>
                      <a:fillRect/>
                    </a:stretch>
                  </pic:blipFill>
                  <pic:spPr bwMode="auto">
                    <a:xfrm>
                      <a:off x="0" y="0"/>
                      <a:ext cx="4975860" cy="1219835"/>
                    </a:xfrm>
                    <a:prstGeom prst="rect">
                      <a:avLst/>
                    </a:prstGeom>
                  </pic:spPr>
                </pic:pic>
              </a:graphicData>
            </a:graphic>
          </wp:inline>
        </w:drawing>
      </w:r>
    </w:p>
    <w:p>
      <w:pPr>
        <w:pStyle w:val="Normal"/>
        <w:rPr/>
      </w:pPr>
      <w:r>
        <w:rPr/>
        <w:drawing>
          <wp:inline distT="0" distB="0" distL="0" distR="0">
            <wp:extent cx="5012690" cy="1232535"/>
            <wp:effectExtent l="0" t="0" r="0" b="0"/>
            <wp:docPr id="6"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pic:cNvPicPr>
                      <a:picLocks noChangeAspect="1" noChangeArrowheads="1"/>
                    </pic:cNvPicPr>
                  </pic:nvPicPr>
                  <pic:blipFill>
                    <a:blip r:embed="rId7"/>
                    <a:srcRect l="-6" t="-19" r="-6" b="-19"/>
                    <a:stretch>
                      <a:fillRect/>
                    </a:stretch>
                  </pic:blipFill>
                  <pic:spPr bwMode="auto">
                    <a:xfrm>
                      <a:off x="0" y="0"/>
                      <a:ext cx="5012690" cy="1232535"/>
                    </a:xfrm>
                    <a:prstGeom prst="rect">
                      <a:avLst/>
                    </a:prstGeom>
                  </pic:spPr>
                </pic:pic>
              </a:graphicData>
            </a:graphic>
          </wp:inline>
        </w:drawing>
      </w:r>
    </w:p>
    <w:p>
      <w:pPr>
        <w:pStyle w:val="Normal"/>
        <w:widowControl/>
        <w:bidi w:val="0"/>
        <w:spacing w:lineRule="auto" w:line="276" w:before="0" w:after="200"/>
        <w:jc w:val="left"/>
        <w:rPr/>
      </w:pPr>
      <w:r>
        <w:rPr/>
      </w:r>
    </w:p>
    <w:sectPr>
      <w:headerReference w:type="default" r:id="rId8"/>
      <w:footerReference w:type="default" r:id="rId9"/>
      <w:type w:val="nextPage"/>
      <w:pgSz w:w="11906" w:h="16838"/>
      <w:pgMar w:left="1134" w:right="1134" w:header="0" w:top="1361" w:footer="709" w:bottom="1134" w:gutter="0"/>
      <w:pgNumType w:fmt="decimal"/>
      <w:formProt w:val="false"/>
      <w:textDirection w:val="lrTb"/>
      <w:docGrid w:type="default" w:linePitch="360" w:charSpace="4096"/>
    </w:sectPr>
  </w:body>
</w:document>
</file>

<file path=word/comments.xml><?xml version="1.0" encoding="utf-8"?>
<w:comment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comment w:id="1" w:author="Longworth, Dawn (Deputy HR Manager)" w:date="2021-02-04T12:14:00Z" w:initials="LD(HM">
    <w:p>
      <w:r>
        <w:rPr>
          <w:rFonts w:ascii="Liberation Serif;Times New Roman" w:hAnsi="Liberation Serif;Times New Roman" w:eastAsia="Segoe UI" w:cs="Tahoma"/>
          <w:color w:val="auto"/>
          <w:kern w:val="0"/>
          <w:sz w:val="24"/>
          <w:szCs w:val="24"/>
          <w:lang w:val="en-US" w:eastAsia="en-US" w:bidi="en-US"/>
        </w:rPr>
        <w:t>Does this post need this level of qualification?</w:t>
      </w:r>
    </w:p>
  </w:comment>
  <w:comment w:id="0" w:author="Nelson, Lindsay" w:date="2021-02-09T11:18:00Z" w:initials="NL">
    <w:p>
      <w:r>
        <w:rPr>
          <w:rFonts w:ascii="Liberation Serif;Times New Roman" w:hAnsi="Liberation Serif;Times New Roman" w:eastAsia="Segoe UI" w:cs="Tahoma"/>
          <w:color w:val="auto"/>
          <w:kern w:val="0"/>
          <w:sz w:val="24"/>
          <w:szCs w:val="24"/>
          <w:lang w:val="en-US" w:eastAsia="en-US" w:bidi="en-US"/>
        </w:rPr>
        <w:t xml:space="preserve">Yes </w:t>
      </w:r>
    </w:p>
  </w:comment>
  <w:comment w:id="3" w:author="Longworth, Dawn (Deputy HR Manager)" w:date="2021-02-04T12:14:00Z" w:initials="LD(HM">
    <w:p>
      <w:r>
        <w:rPr>
          <w:rFonts w:ascii="Liberation Serif;Times New Roman" w:hAnsi="Liberation Serif;Times New Roman" w:eastAsia="Segoe UI" w:cs="Tahoma"/>
          <w:color w:val="auto"/>
          <w:kern w:val="0"/>
          <w:sz w:val="24"/>
          <w:szCs w:val="24"/>
          <w:lang w:val="en-US" w:eastAsia="en-US" w:bidi="en-US"/>
        </w:rPr>
        <w:t>Does this post need this level of qualification? In special schools I don’t think SENCO’s have to have QTS.</w:t>
      </w:r>
    </w:p>
  </w:comment>
  <w:comment w:id="2" w:author="Nelson, Lindsay" w:date="2021-02-09T11:18:00Z" w:initials="NL">
    <w:p>
      <w:r>
        <w:rPr>
          <w:rFonts w:ascii="Liberation Serif;Times New Roman" w:hAnsi="Liberation Serif;Times New Roman" w:eastAsia="Segoe UI" w:cs="Tahoma"/>
          <w:color w:val="auto"/>
          <w:kern w:val="0"/>
          <w:sz w:val="24"/>
          <w:szCs w:val="24"/>
          <w:lang w:val="en-US" w:eastAsia="en-US" w:bidi="en-US"/>
        </w:rPr>
        <w:t xml:space="preserve">I’ve double checked and to be a SENCO you need to have QTS. </w:t>
      </w:r>
    </w:p>
  </w:comment>
</w:comments>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center"/>
      <w:rPr>
        <w:b/>
        <w:b/>
        <w:bCs/>
        <w:color w:val="FFFFFF"/>
        <w:sz w:val="24"/>
        <w:szCs w:val="24"/>
      </w:rPr>
    </w:pPr>
    <w:r>
      <w:rPr>
        <w:b/>
        <w:bCs/>
        <w:color w:val="FFFFFF"/>
        <w:sz w:val="24"/>
        <w:szCs w:val="24"/>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num w:numId="1">
    <w:abstractNumId w:val="1"/>
  </w:num>
  <w:num w:numId="2">
    <w:abstractNumId w:val="2"/>
  </w:num>
</w:numbering>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paragraph" w:styleId="Heading1">
    <w:name w:val="Heading 1"/>
    <w:basedOn w:val="Normal"/>
    <w:next w:val="Normal"/>
    <w:qFormat/>
    <w:pPr>
      <w:keepNext w:val="true"/>
      <w:keepLines/>
      <w:numPr>
        <w:ilvl w:val="0"/>
        <w:numId w:val="1"/>
      </w:numPr>
      <w:spacing w:before="240" w:after="0"/>
      <w:outlineLvl w:val="0"/>
    </w:pPr>
    <w:rPr>
      <w:rFonts w:ascii="Calibri Light" w:hAnsi="Calibri Light" w:eastAsia="" w:cs=""/>
      <w:color w:val="2F5496"/>
      <w:sz w:val="32"/>
      <w:szCs w:val="32"/>
    </w:rPr>
  </w:style>
  <w:style w:type="paragraph" w:styleId="Heading2">
    <w:name w:val="Heading 2"/>
    <w:basedOn w:val="Normal"/>
    <w:next w:val="Normal"/>
    <w:qFormat/>
    <w:pPr>
      <w:keepNext w:val="true"/>
      <w:keepLines/>
      <w:numPr>
        <w:ilvl w:val="1"/>
        <w:numId w:val="1"/>
      </w:numPr>
      <w:spacing w:before="40" w:after="0"/>
      <w:outlineLvl w:val="1"/>
    </w:pPr>
    <w:rPr>
      <w:rFonts w:ascii="Calibri Light" w:hAnsi="Calibri Light" w:eastAsia="" w:cs=""/>
      <w:color w:val="2F5496"/>
      <w:sz w:val="26"/>
      <w:szCs w:val="26"/>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InternetLink">
    <w:name w:val="Internet Link"/>
    <w:basedOn w:val="DefaultParagraphFont"/>
    <w:rPr>
      <w:color w:val="0000FF"/>
      <w:u w:val="single"/>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character" w:styleId="Heading1Char">
    <w:name w:val="Heading 1 Char"/>
    <w:basedOn w:val="DefaultParagraphFont"/>
    <w:qFormat/>
    <w:rPr>
      <w:rFonts w:ascii="Calibri Light" w:hAnsi="Calibri Light" w:eastAsia="" w:cs=""/>
      <w:color w:val="2F5496"/>
      <w:sz w:val="32"/>
      <w:szCs w:val="32"/>
    </w:rPr>
  </w:style>
  <w:style w:type="character" w:styleId="Heading2Char">
    <w:name w:val="Heading 2 Char"/>
    <w:basedOn w:val="DefaultParagraphFont"/>
    <w:qFormat/>
    <w:rPr>
      <w:rFonts w:ascii="Calibri Light" w:hAnsi="Calibri Light" w:eastAsia="" w:cs=""/>
      <w:color w:val="2F5496"/>
      <w:sz w:val="26"/>
      <w:szCs w:val="26"/>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lineRule="auto" w:line="264" w:before="0" w:after="0"/>
      <w:ind w:left="720" w:right="0" w:hanging="0"/>
      <w:contextualSpacing/>
    </w:pPr>
    <w:rPr>
      <w:rFonts w:ascii="Arial" w:hAnsi="Arial" w:eastAsia="Times New Roman" w:cs="Times New Roman"/>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comments" Target="comments.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9</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