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jpeg" ContentType="image/jpeg"/>
  <Override PartName="/word/media/image3.png" ContentType="image/png"/>
  <Override PartName="/word/media/image2.png" ContentType="image/png"/>
  <Override PartName="/word/media/image4.png" ContentType="image/png"/>
  <Override PartName="/word/media/image5.png" ContentType="image/png"/>
  <Override PartName="/word/media/image6.png" ContentType="image/png"/>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ackground w:color="FFFFFF"/>
  <w:body>
    <w:p>
      <w:pPr>
        <w:pStyle w:val="Normal"/>
        <w:rPr/>
      </w:pPr>
      <w:r>
        <w:rPr/>
        <w:drawing>
          <wp:anchor behindDoc="0" distT="0" distB="0" distL="0" distR="0" simplePos="0" locked="0" layoutInCell="1" allowOverlap="1" relativeHeight="7">
            <wp:simplePos x="0" y="0"/>
            <wp:positionH relativeFrom="column">
              <wp:posOffset>4394835</wp:posOffset>
            </wp:positionH>
            <wp:positionV relativeFrom="paragraph">
              <wp:posOffset>-513080</wp:posOffset>
            </wp:positionV>
            <wp:extent cx="1904365" cy="837565"/>
            <wp:effectExtent l="0" t="0" r="0" b="0"/>
            <wp:wrapNone/>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19" t="-43" r="-19" b="-43"/>
                    <a:stretch>
                      <a:fillRect/>
                    </a:stretch>
                  </pic:blipFill>
                  <pic:spPr bwMode="auto">
                    <a:xfrm>
                      <a:off x="0" y="0"/>
                      <a:ext cx="1904365" cy="837565"/>
                    </a:xfrm>
                    <a:prstGeom prst="rect">
                      <a:avLst/>
                    </a:prstGeom>
                  </pic:spPr>
                </pic:pic>
              </a:graphicData>
            </a:graphic>
          </wp:anchor>
        </w:drawing>
      </w:r>
    </w:p>
    <w:p>
      <w:pPr>
        <w:pStyle w:val="Normal"/>
        <w:rPr>
          <w:b/>
          <w:b/>
          <w:bCs/>
          <w:sz w:val="40"/>
          <w:szCs w:val="40"/>
        </w:rPr>
      </w:pPr>
      <w:r>
        <w:rPr>
          <w:b/>
          <w:bCs/>
          <w:sz w:val="40"/>
          <w:szCs w:val="40"/>
        </w:rPr>
        <w:t xml:space="preserve">Job Description </w:t>
      </w:r>
    </w:p>
    <w:tbl>
      <w:tblPr>
        <w:tblW w:w="9637" w:type="dxa"/>
        <w:jc w:val="left"/>
        <w:tblInd w:w="0" w:type="dxa"/>
        <w:tblCellMar>
          <w:top w:w="0" w:type="dxa"/>
          <w:left w:w="108" w:type="dxa"/>
          <w:bottom w:w="0" w:type="dxa"/>
          <w:right w:w="108" w:type="dxa"/>
        </w:tblCellMar>
      </w:tblPr>
      <w:tblGrid>
        <w:gridCol w:w="2638"/>
        <w:gridCol w:w="6999"/>
      </w:tblGrid>
      <w:tr>
        <w:trPr>
          <w:trHeight w:val="429" w:hRule="atLeast"/>
        </w:trPr>
        <w:tc>
          <w:tcPr>
            <w:tcW w:w="2638" w:type="dxa"/>
            <w:tcBorders>
              <w:top w:val="single" w:sz="4" w:space="0" w:color="D9D9D9"/>
              <w:left w:val="single" w:sz="4" w:space="0" w:color="D9D9D9"/>
              <w:bottom w:val="single" w:sz="4" w:space="0" w:color="D9D9D9"/>
            </w:tcBorders>
            <w:shd w:fill="auto" w:val="clear"/>
          </w:tcPr>
          <w:p>
            <w:pPr>
              <w:pStyle w:val="Normal"/>
              <w:spacing w:lineRule="auto" w:line="240" w:before="0" w:after="0"/>
              <w:rPr>
                <w:rFonts w:ascii="Arial" w:hAnsi="Arial" w:cs="Arial"/>
                <w:b/>
                <w:b/>
              </w:rPr>
            </w:pPr>
            <w:r>
              <w:rPr>
                <w:rFonts w:cs="Arial" w:ascii="Arial" w:hAnsi="Arial"/>
                <w:b/>
              </w:rPr>
              <w:t>Department</w:t>
            </w:r>
          </w:p>
        </w:tc>
        <w:tc>
          <w:tcPr>
            <w:tcW w:w="6999" w:type="dxa"/>
            <w:tcBorders>
              <w:top w:val="single" w:sz="4" w:space="0" w:color="D9D9D9"/>
              <w:left w:val="single" w:sz="4" w:space="0" w:color="D9D9D9"/>
              <w:bottom w:val="single" w:sz="4" w:space="0" w:color="D9D9D9"/>
              <w:right w:val="single" w:sz="4" w:space="0" w:color="D9D9D9"/>
            </w:tcBorders>
            <w:shd w:fill="auto" w:val="clear"/>
          </w:tcPr>
          <w:p>
            <w:pPr>
              <w:pStyle w:val="Normal"/>
              <w:spacing w:lineRule="auto" w:line="240" w:before="0" w:after="0"/>
              <w:rPr>
                <w:rFonts w:ascii="Arial" w:hAnsi="Arial" w:cs="Arial"/>
                <w:b/>
                <w:b/>
              </w:rPr>
            </w:pPr>
            <w:r>
              <w:rPr>
                <w:rFonts w:cs="Arial" w:ascii="Arial" w:hAnsi="Arial"/>
                <w:b/>
              </w:rPr>
              <w:t>Children’s Services</w:t>
            </w:r>
          </w:p>
        </w:tc>
      </w:tr>
      <w:tr>
        <w:trPr>
          <w:trHeight w:val="506" w:hRule="atLeast"/>
        </w:trPr>
        <w:tc>
          <w:tcPr>
            <w:tcW w:w="2638" w:type="dxa"/>
            <w:tcBorders>
              <w:top w:val="single" w:sz="4" w:space="0" w:color="D9D9D9"/>
              <w:left w:val="single" w:sz="4" w:space="0" w:color="D9D9D9"/>
              <w:bottom w:val="single" w:sz="4" w:space="0" w:color="D9D9D9"/>
            </w:tcBorders>
            <w:shd w:fill="auto" w:val="clear"/>
          </w:tcPr>
          <w:p>
            <w:pPr>
              <w:pStyle w:val="Normal"/>
              <w:spacing w:lineRule="auto" w:line="240" w:before="0" w:after="0"/>
              <w:rPr>
                <w:rFonts w:ascii="Arial" w:hAnsi="Arial" w:cs="Arial"/>
                <w:b/>
                <w:b/>
              </w:rPr>
            </w:pPr>
            <w:r>
              <w:rPr>
                <w:rFonts w:cs="Arial" w:ascii="Arial" w:hAnsi="Arial"/>
                <w:b/>
              </w:rPr>
              <w:t>Job Title</w:t>
            </w:r>
          </w:p>
        </w:tc>
        <w:tc>
          <w:tcPr>
            <w:tcW w:w="6999" w:type="dxa"/>
            <w:tcBorders>
              <w:top w:val="single" w:sz="4" w:space="0" w:color="D9D9D9"/>
              <w:left w:val="single" w:sz="4" w:space="0" w:color="D9D9D9"/>
              <w:bottom w:val="single" w:sz="4" w:space="0" w:color="D9D9D9"/>
              <w:right w:val="single" w:sz="4" w:space="0" w:color="D9D9D9"/>
            </w:tcBorders>
            <w:shd w:fill="auto" w:val="clear"/>
          </w:tcPr>
          <w:p>
            <w:pPr>
              <w:pStyle w:val="Normal"/>
              <w:spacing w:lineRule="auto" w:line="240" w:before="0" w:after="0"/>
              <w:rPr>
                <w:rFonts w:ascii="Arial" w:hAnsi="Arial" w:cs="Arial"/>
              </w:rPr>
            </w:pPr>
            <w:r>
              <w:rPr>
                <w:rFonts w:cs="Arial" w:ascii="Arial" w:hAnsi="Arial"/>
              </w:rPr>
              <w:t>SEND Assessment Officer (Post 16)</w:t>
            </w:r>
          </w:p>
        </w:tc>
      </w:tr>
      <w:tr>
        <w:trPr>
          <w:trHeight w:val="386" w:hRule="atLeast"/>
        </w:trPr>
        <w:tc>
          <w:tcPr>
            <w:tcW w:w="2638" w:type="dxa"/>
            <w:tcBorders>
              <w:top w:val="single" w:sz="4" w:space="0" w:color="D9D9D9"/>
              <w:left w:val="single" w:sz="4" w:space="0" w:color="D9D9D9"/>
              <w:bottom w:val="single" w:sz="4" w:space="0" w:color="D9D9D9"/>
            </w:tcBorders>
            <w:shd w:fill="auto" w:val="clear"/>
          </w:tcPr>
          <w:p>
            <w:pPr>
              <w:pStyle w:val="Normal"/>
              <w:spacing w:lineRule="auto" w:line="240" w:before="0" w:after="0"/>
              <w:rPr>
                <w:rFonts w:ascii="Arial" w:hAnsi="Arial" w:cs="Arial"/>
                <w:b/>
                <w:b/>
              </w:rPr>
            </w:pPr>
            <w:r>
              <w:rPr>
                <w:rFonts w:cs="Arial" w:ascii="Arial" w:hAnsi="Arial"/>
                <w:b/>
              </w:rPr>
              <w:t>Grade</w:t>
            </w:r>
          </w:p>
        </w:tc>
        <w:tc>
          <w:tcPr>
            <w:tcW w:w="6999" w:type="dxa"/>
            <w:tcBorders>
              <w:top w:val="single" w:sz="4" w:space="0" w:color="D9D9D9"/>
              <w:left w:val="single" w:sz="4" w:space="0" w:color="D9D9D9"/>
              <w:bottom w:val="single" w:sz="4" w:space="0" w:color="D9D9D9"/>
              <w:right w:val="single" w:sz="4" w:space="0" w:color="D9D9D9"/>
            </w:tcBorders>
            <w:shd w:fill="auto" w:val="clear"/>
          </w:tcPr>
          <w:p>
            <w:pPr>
              <w:pStyle w:val="Normal"/>
              <w:spacing w:lineRule="auto" w:line="240" w:before="0" w:after="0"/>
              <w:rPr>
                <w:rFonts w:ascii="Arial" w:hAnsi="Arial" w:cs="Arial"/>
              </w:rPr>
            </w:pPr>
            <w:r>
              <w:rPr>
                <w:rFonts w:cs="Arial" w:ascii="Arial" w:hAnsi="Arial"/>
              </w:rPr>
              <w:t>H</w:t>
            </w:r>
          </w:p>
        </w:tc>
      </w:tr>
      <w:tr>
        <w:trPr>
          <w:trHeight w:val="506" w:hRule="atLeast"/>
        </w:trPr>
        <w:tc>
          <w:tcPr>
            <w:tcW w:w="2638" w:type="dxa"/>
            <w:tcBorders>
              <w:top w:val="single" w:sz="4" w:space="0" w:color="D9D9D9"/>
              <w:left w:val="single" w:sz="4" w:space="0" w:color="D9D9D9"/>
              <w:bottom w:val="single" w:sz="4" w:space="0" w:color="D9D9D9"/>
            </w:tcBorders>
            <w:shd w:fill="auto" w:val="clear"/>
          </w:tcPr>
          <w:p>
            <w:pPr>
              <w:pStyle w:val="Normal"/>
              <w:spacing w:lineRule="auto" w:line="240" w:before="0" w:after="0"/>
              <w:rPr>
                <w:rFonts w:ascii="Arial" w:hAnsi="Arial" w:cs="Arial"/>
                <w:b/>
                <w:b/>
              </w:rPr>
            </w:pPr>
            <w:r>
              <w:rPr>
                <w:rFonts w:cs="Arial" w:ascii="Arial" w:hAnsi="Arial"/>
                <w:b/>
              </w:rPr>
              <w:t>Primary Purpose of Job</w:t>
            </w:r>
          </w:p>
        </w:tc>
        <w:tc>
          <w:tcPr>
            <w:tcW w:w="6999" w:type="dxa"/>
            <w:tcBorders>
              <w:top w:val="single" w:sz="4" w:space="0" w:color="D9D9D9"/>
              <w:left w:val="single" w:sz="4" w:space="0" w:color="D9D9D9"/>
              <w:bottom w:val="single" w:sz="4" w:space="0" w:color="D9D9D9"/>
              <w:right w:val="single" w:sz="4" w:space="0" w:color="D9D9D9"/>
            </w:tcBorders>
            <w:shd w:fill="auto" w:val="clear"/>
          </w:tcPr>
          <w:p>
            <w:pPr>
              <w:pStyle w:val="Normal"/>
              <w:spacing w:lineRule="auto" w:line="240" w:before="0" w:after="0"/>
              <w:rPr>
                <w:rFonts w:ascii="Arial" w:hAnsi="Arial" w:cs="Arial"/>
              </w:rPr>
            </w:pPr>
            <w:r>
              <w:rPr>
                <w:rFonts w:cs="Arial" w:ascii="Arial" w:hAnsi="Arial"/>
              </w:rPr>
              <w:t>To carry out Education, Health and Care (EHC) Needs Assessments and issue EHC Plans in accordance with the Children and Families Act 2014, the SEND Regulations 2014 and any subsequent legislation. To have responsibility for any associated casework, including preparing and presenting cases at SEN &amp; Disability Tribunals.</w:t>
            </w:r>
          </w:p>
        </w:tc>
      </w:tr>
      <w:tr>
        <w:trPr>
          <w:trHeight w:val="450" w:hRule="atLeast"/>
        </w:trPr>
        <w:tc>
          <w:tcPr>
            <w:tcW w:w="2638" w:type="dxa"/>
            <w:tcBorders>
              <w:top w:val="single" w:sz="4" w:space="0" w:color="D9D9D9"/>
              <w:left w:val="single" w:sz="4" w:space="0" w:color="D9D9D9"/>
              <w:bottom w:val="single" w:sz="4" w:space="0" w:color="D9D9D9"/>
            </w:tcBorders>
            <w:shd w:fill="auto" w:val="clear"/>
          </w:tcPr>
          <w:p>
            <w:pPr>
              <w:pStyle w:val="Normal"/>
              <w:spacing w:lineRule="auto" w:line="240" w:before="0" w:after="0"/>
              <w:rPr>
                <w:rFonts w:ascii="Arial" w:hAnsi="Arial" w:cs="Arial"/>
                <w:b/>
                <w:b/>
              </w:rPr>
            </w:pPr>
            <w:r>
              <w:rPr>
                <w:rFonts w:cs="Arial" w:ascii="Arial" w:hAnsi="Arial"/>
                <w:b/>
              </w:rPr>
              <w:t>Reporting To</w:t>
            </w:r>
          </w:p>
        </w:tc>
        <w:tc>
          <w:tcPr>
            <w:tcW w:w="6999" w:type="dxa"/>
            <w:tcBorders>
              <w:top w:val="single" w:sz="4" w:space="0" w:color="D9D9D9"/>
              <w:left w:val="single" w:sz="4" w:space="0" w:color="D9D9D9"/>
              <w:bottom w:val="single" w:sz="4" w:space="0" w:color="D9D9D9"/>
              <w:right w:val="single" w:sz="4" w:space="0" w:color="D9D9D9"/>
            </w:tcBorders>
            <w:shd w:fill="auto" w:val="clear"/>
          </w:tcPr>
          <w:p>
            <w:pPr>
              <w:pStyle w:val="Normal"/>
              <w:spacing w:lineRule="auto" w:line="240" w:before="0" w:after="0"/>
              <w:rPr>
                <w:rFonts w:ascii="Arial" w:hAnsi="Arial" w:cs="Arial"/>
              </w:rPr>
            </w:pPr>
            <w:r>
              <w:rPr>
                <w:rFonts w:cs="Arial" w:ascii="Arial" w:hAnsi="Arial"/>
              </w:rPr>
              <w:t>Senior SEND Officer (Post 16)</w:t>
            </w:r>
          </w:p>
        </w:tc>
      </w:tr>
      <w:tr>
        <w:trPr>
          <w:trHeight w:val="416" w:hRule="atLeast"/>
        </w:trPr>
        <w:tc>
          <w:tcPr>
            <w:tcW w:w="2638" w:type="dxa"/>
            <w:tcBorders>
              <w:top w:val="single" w:sz="4" w:space="0" w:color="D9D9D9"/>
              <w:left w:val="single" w:sz="4" w:space="0" w:color="D9D9D9"/>
              <w:bottom w:val="single" w:sz="4" w:space="0" w:color="D9D9D9"/>
            </w:tcBorders>
            <w:shd w:fill="auto" w:val="clear"/>
          </w:tcPr>
          <w:p>
            <w:pPr>
              <w:pStyle w:val="Normal"/>
              <w:spacing w:lineRule="auto" w:line="240" w:before="0" w:after="0"/>
              <w:rPr>
                <w:rFonts w:ascii="Arial" w:hAnsi="Arial" w:cs="Arial"/>
                <w:b/>
                <w:b/>
              </w:rPr>
            </w:pPr>
            <w:r>
              <w:rPr>
                <w:rFonts w:cs="Arial" w:ascii="Arial" w:hAnsi="Arial"/>
                <w:b/>
              </w:rPr>
              <w:t>Direct Staffing Reports</w:t>
            </w:r>
          </w:p>
        </w:tc>
        <w:tc>
          <w:tcPr>
            <w:tcW w:w="6999" w:type="dxa"/>
            <w:tcBorders>
              <w:top w:val="single" w:sz="4" w:space="0" w:color="D9D9D9"/>
              <w:left w:val="single" w:sz="4" w:space="0" w:color="D9D9D9"/>
              <w:bottom w:val="single" w:sz="4" w:space="0" w:color="D9D9D9"/>
              <w:right w:val="single" w:sz="4" w:space="0" w:color="D9D9D9"/>
            </w:tcBorders>
            <w:shd w:fill="auto" w:val="clear"/>
          </w:tcPr>
          <w:p>
            <w:pPr>
              <w:pStyle w:val="Normal"/>
              <w:spacing w:lineRule="auto" w:line="240" w:before="0" w:after="0"/>
              <w:rPr>
                <w:rFonts w:ascii="Arial" w:hAnsi="Arial" w:cs="Arial"/>
              </w:rPr>
            </w:pPr>
            <w:r>
              <w:rPr>
                <w:rFonts w:cs="Arial" w:ascii="Arial" w:hAnsi="Arial"/>
              </w:rPr>
              <w:t>None</w:t>
            </w:r>
          </w:p>
        </w:tc>
      </w:tr>
    </w:tbl>
    <w:p>
      <w:pPr>
        <w:pStyle w:val="Normal"/>
        <w:spacing w:lineRule="auto" w:line="240" w:before="0" w:after="120"/>
        <w:rPr>
          <w:rFonts w:ascii="Arial" w:hAnsi="Arial" w:cs="Arial"/>
          <w:sz w:val="16"/>
          <w:szCs w:val="16"/>
        </w:rPr>
      </w:pPr>
      <w:r>
        <w:rPr>
          <w:rFonts w:cs="Arial" w:ascii="Arial" w:hAnsi="Arial"/>
          <w:sz w:val="16"/>
          <w:szCs w:val="16"/>
        </w:rPr>
      </w:r>
    </w:p>
    <w:p>
      <w:pPr>
        <w:pStyle w:val="Normal"/>
        <w:spacing w:lineRule="auto" w:line="240" w:before="0" w:after="120"/>
        <w:rPr>
          <w:rFonts w:ascii="Arial" w:hAnsi="Arial" w:cs="Arial"/>
          <w:b/>
          <w:b/>
        </w:rPr>
      </w:pPr>
      <w:r>
        <w:rPr>
          <w:rFonts w:cs="Arial" w:ascii="Arial" w:hAnsi="Arial"/>
          <w:b/>
        </w:rPr>
        <w:t>Main Duties</w:t>
      </w:r>
    </w:p>
    <w:p>
      <w:pPr>
        <w:pStyle w:val="ListParagraph"/>
        <w:numPr>
          <w:ilvl w:val="0"/>
          <w:numId w:val="2"/>
        </w:numPr>
        <w:spacing w:lineRule="auto" w:line="240" w:before="0" w:after="120"/>
        <w:contextualSpacing/>
        <w:rPr>
          <w:rFonts w:cs="Arial"/>
          <w:bCs/>
        </w:rPr>
      </w:pPr>
      <w:r>
        <w:rPr>
          <w:rFonts w:cs="Arial"/>
          <w:bCs/>
        </w:rPr>
        <w:t>To evaluate assessment advice in order to determine the need for an Education Health and Care (EHC) Plans.</w:t>
      </w:r>
    </w:p>
    <w:p>
      <w:pPr>
        <w:pStyle w:val="ListParagraph"/>
        <w:spacing w:lineRule="auto" w:line="240" w:before="0" w:after="120"/>
        <w:contextualSpacing/>
        <w:rPr>
          <w:rFonts w:cs="Arial"/>
          <w:bCs/>
        </w:rPr>
      </w:pPr>
      <w:r>
        <w:rPr>
          <w:rFonts w:cs="Arial"/>
          <w:bCs/>
        </w:rPr>
      </w:r>
    </w:p>
    <w:p>
      <w:pPr>
        <w:pStyle w:val="ListParagraph"/>
        <w:numPr>
          <w:ilvl w:val="0"/>
          <w:numId w:val="2"/>
        </w:numPr>
        <w:spacing w:lineRule="auto" w:line="240" w:before="0" w:after="120"/>
        <w:contextualSpacing/>
        <w:rPr>
          <w:rFonts w:cs="Arial"/>
          <w:bCs/>
        </w:rPr>
      </w:pPr>
      <w:r>
        <w:rPr>
          <w:rFonts w:cs="Arial"/>
          <w:bCs/>
        </w:rPr>
        <w:t>To produce EHC Plans within the statutory timescales set out in the SEND Regulations 2014.</w:t>
      </w:r>
    </w:p>
    <w:p>
      <w:pPr>
        <w:pStyle w:val="ListParagraph"/>
        <w:rPr>
          <w:rFonts w:cs="Arial"/>
          <w:bCs/>
        </w:rPr>
      </w:pPr>
      <w:r>
        <w:rPr>
          <w:rFonts w:cs="Arial"/>
          <w:bCs/>
        </w:rPr>
      </w:r>
    </w:p>
    <w:p>
      <w:pPr>
        <w:pStyle w:val="ListParagraph"/>
        <w:numPr>
          <w:ilvl w:val="0"/>
          <w:numId w:val="2"/>
        </w:numPr>
        <w:spacing w:lineRule="auto" w:line="240" w:before="0" w:after="120"/>
        <w:contextualSpacing/>
        <w:rPr>
          <w:rFonts w:cs="Arial"/>
          <w:bCs/>
        </w:rPr>
      </w:pPr>
      <w:r>
        <w:rPr>
          <w:rFonts w:cs="Arial"/>
          <w:bCs/>
        </w:rPr>
        <w:t>To advise parents and young people on the EHC needs assessment procedures and to ensure the preparation of information to parents and schools meets the statutory requirements.</w:t>
      </w:r>
    </w:p>
    <w:p>
      <w:pPr>
        <w:pStyle w:val="ListParagraph"/>
        <w:rPr>
          <w:rFonts w:cs="Arial"/>
          <w:bCs/>
        </w:rPr>
      </w:pPr>
      <w:r>
        <w:rPr>
          <w:rFonts w:cs="Arial"/>
          <w:bCs/>
        </w:rPr>
      </w:r>
    </w:p>
    <w:p>
      <w:pPr>
        <w:pStyle w:val="ListParagraph"/>
        <w:numPr>
          <w:ilvl w:val="0"/>
          <w:numId w:val="2"/>
        </w:numPr>
        <w:spacing w:lineRule="auto" w:line="240" w:before="0" w:after="120"/>
        <w:contextualSpacing/>
        <w:rPr>
          <w:rFonts w:cs="Arial"/>
          <w:bCs/>
        </w:rPr>
      </w:pPr>
      <w:r>
        <w:rPr>
          <w:rFonts w:cs="Arial"/>
          <w:bCs/>
        </w:rPr>
        <w:t>To evaluate and respond to annual review reports, attending annual review meetings as determined by the service priorities.</w:t>
      </w:r>
    </w:p>
    <w:p>
      <w:pPr>
        <w:pStyle w:val="ListParagraph"/>
        <w:rPr>
          <w:rFonts w:cs="Arial"/>
          <w:bCs/>
        </w:rPr>
      </w:pPr>
      <w:r>
        <w:rPr>
          <w:rFonts w:cs="Arial"/>
          <w:bCs/>
        </w:rPr>
      </w:r>
    </w:p>
    <w:p>
      <w:pPr>
        <w:pStyle w:val="ListParagraph"/>
        <w:numPr>
          <w:ilvl w:val="0"/>
          <w:numId w:val="2"/>
        </w:numPr>
        <w:spacing w:lineRule="auto" w:line="240" w:before="0" w:after="120"/>
        <w:contextualSpacing/>
        <w:rPr>
          <w:rFonts w:cs="Arial"/>
          <w:bCs/>
        </w:rPr>
      </w:pPr>
      <w:r>
        <w:rPr>
          <w:rFonts w:cs="Arial"/>
          <w:bCs/>
        </w:rPr>
        <w:t>To undertake individual casework management.</w:t>
      </w:r>
    </w:p>
    <w:p>
      <w:pPr>
        <w:pStyle w:val="ListParagraph"/>
        <w:rPr>
          <w:rFonts w:cs="Arial"/>
          <w:bCs/>
        </w:rPr>
      </w:pPr>
      <w:r>
        <w:rPr>
          <w:rFonts w:cs="Arial"/>
          <w:bCs/>
        </w:rPr>
      </w:r>
    </w:p>
    <w:p>
      <w:pPr>
        <w:pStyle w:val="ListParagraph"/>
        <w:numPr>
          <w:ilvl w:val="0"/>
          <w:numId w:val="2"/>
        </w:numPr>
        <w:spacing w:lineRule="auto" w:line="240" w:before="0" w:after="120"/>
        <w:contextualSpacing/>
        <w:rPr>
          <w:rFonts w:cs="Arial"/>
          <w:bCs/>
        </w:rPr>
      </w:pPr>
      <w:r>
        <w:rPr>
          <w:rFonts w:cs="Arial"/>
          <w:bCs/>
        </w:rPr>
        <w:t>To consult with mainstream and special schools on placement/transfer of pupils.</w:t>
      </w:r>
    </w:p>
    <w:p>
      <w:pPr>
        <w:pStyle w:val="ListParagraph"/>
        <w:rPr>
          <w:rFonts w:cs="Arial"/>
          <w:bCs/>
        </w:rPr>
      </w:pPr>
      <w:r>
        <w:rPr>
          <w:rFonts w:cs="Arial"/>
          <w:bCs/>
        </w:rPr>
      </w:r>
    </w:p>
    <w:p>
      <w:pPr>
        <w:pStyle w:val="ListParagraph"/>
        <w:numPr>
          <w:ilvl w:val="0"/>
          <w:numId w:val="2"/>
        </w:numPr>
        <w:spacing w:lineRule="auto" w:line="240" w:before="0" w:after="120"/>
        <w:contextualSpacing/>
        <w:rPr>
          <w:rFonts w:cs="Arial"/>
          <w:bCs/>
        </w:rPr>
      </w:pPr>
      <w:r>
        <w:rPr>
          <w:rFonts w:cs="Arial"/>
          <w:bCs/>
        </w:rPr>
        <w:t>To work with parents, schools and other agencies to resolve assessment and placement issues of individual pupils.</w:t>
      </w:r>
    </w:p>
    <w:p>
      <w:pPr>
        <w:pStyle w:val="ListParagraph"/>
        <w:rPr>
          <w:rFonts w:cs="Arial"/>
          <w:bCs/>
        </w:rPr>
      </w:pPr>
      <w:r>
        <w:rPr>
          <w:rFonts w:cs="Arial"/>
          <w:bCs/>
        </w:rPr>
      </w:r>
    </w:p>
    <w:p>
      <w:pPr>
        <w:pStyle w:val="ListParagraph"/>
        <w:numPr>
          <w:ilvl w:val="0"/>
          <w:numId w:val="2"/>
        </w:numPr>
        <w:spacing w:lineRule="auto" w:line="240" w:before="0" w:after="120"/>
        <w:contextualSpacing/>
        <w:rPr>
          <w:rFonts w:cs="Arial"/>
          <w:bCs/>
        </w:rPr>
      </w:pPr>
      <w:r>
        <w:rPr>
          <w:rFonts w:cs="Arial"/>
          <w:bCs/>
        </w:rPr>
        <w:t>To ensure communication of outcomes from admission panel meetings to the relevant professionals and parents.</w:t>
      </w:r>
    </w:p>
    <w:p>
      <w:pPr>
        <w:pStyle w:val="ListParagraph"/>
        <w:rPr>
          <w:rFonts w:cs="Arial"/>
          <w:bCs/>
        </w:rPr>
      </w:pPr>
      <w:r>
        <w:rPr>
          <w:rFonts w:cs="Arial"/>
          <w:bCs/>
        </w:rPr>
      </w:r>
    </w:p>
    <w:p>
      <w:pPr>
        <w:pStyle w:val="ListParagraph"/>
        <w:numPr>
          <w:ilvl w:val="0"/>
          <w:numId w:val="2"/>
        </w:numPr>
        <w:spacing w:lineRule="auto" w:line="240" w:before="0" w:after="120"/>
        <w:contextualSpacing/>
        <w:rPr>
          <w:rFonts w:cs="Arial"/>
          <w:bCs/>
        </w:rPr>
      </w:pPr>
      <w:r>
        <w:rPr>
          <w:rFonts w:cs="Arial"/>
          <w:bCs/>
        </w:rPr>
        <w:t>To represent the SEND Assessment Service on a variety of panel meetings/development groups.</w:t>
      </w:r>
    </w:p>
    <w:p>
      <w:pPr>
        <w:pStyle w:val="ListParagraph"/>
        <w:rPr>
          <w:rFonts w:cs="Arial"/>
          <w:bCs/>
        </w:rPr>
      </w:pPr>
      <w:r>
        <w:rPr>
          <w:rFonts w:cs="Arial"/>
          <w:bCs/>
        </w:rPr>
      </w:r>
    </w:p>
    <w:p>
      <w:pPr>
        <w:pStyle w:val="ListParagraph"/>
        <w:numPr>
          <w:ilvl w:val="0"/>
          <w:numId w:val="2"/>
        </w:numPr>
        <w:spacing w:lineRule="auto" w:line="240" w:before="0" w:after="120"/>
        <w:contextualSpacing/>
        <w:rPr>
          <w:rFonts w:cs="Arial"/>
          <w:bCs/>
        </w:rPr>
      </w:pPr>
      <w:r>
        <w:rPr>
          <w:rFonts w:cs="Arial"/>
          <w:bCs/>
        </w:rPr>
        <w:t>To promote the education of children with EHC Plans who are Looked After, permanently excluded or at risk of permanent exclusion.</w:t>
      </w:r>
    </w:p>
    <w:p>
      <w:pPr>
        <w:pStyle w:val="ListParagraph"/>
        <w:rPr>
          <w:rFonts w:cs="Arial"/>
          <w:bCs/>
        </w:rPr>
      </w:pPr>
      <w:r>
        <w:rPr>
          <w:rFonts w:cs="Arial"/>
          <w:bCs/>
        </w:rPr>
      </w:r>
    </w:p>
    <w:p>
      <w:pPr>
        <w:pStyle w:val="ListParagraph"/>
        <w:numPr>
          <w:ilvl w:val="0"/>
          <w:numId w:val="2"/>
        </w:numPr>
        <w:spacing w:lineRule="auto" w:line="240" w:before="0" w:after="120"/>
        <w:contextualSpacing/>
        <w:rPr>
          <w:rFonts w:cs="Arial"/>
          <w:bCs/>
        </w:rPr>
      </w:pPr>
      <w:r>
        <w:rPr>
          <w:rFonts w:cs="Arial"/>
          <w:bCs/>
        </w:rPr>
        <w:t>To prepare the relevant documentation for and represent the authority at First-tier SEND Tribunals.</w:t>
      </w:r>
    </w:p>
    <w:p>
      <w:pPr>
        <w:pStyle w:val="ListParagraph"/>
        <w:numPr>
          <w:ilvl w:val="0"/>
          <w:numId w:val="2"/>
        </w:numPr>
        <w:spacing w:lineRule="auto" w:line="240" w:before="0" w:after="120"/>
        <w:contextualSpacing/>
        <w:rPr>
          <w:rFonts w:cs="Arial"/>
          <w:bCs/>
        </w:rPr>
      </w:pPr>
      <w:r>
        <w:rPr>
          <w:rFonts w:cs="Arial"/>
          <w:bCs/>
        </w:rPr>
        <w:t>To implement and contribute to the development of Children’s Services special educational needs policies and procedures.</w:t>
      </w:r>
    </w:p>
    <w:p>
      <w:pPr>
        <w:pStyle w:val="ListParagraph"/>
        <w:spacing w:lineRule="auto" w:line="240" w:before="0" w:after="120"/>
        <w:contextualSpacing/>
        <w:rPr>
          <w:rFonts w:cs="Arial"/>
          <w:bCs/>
        </w:rPr>
      </w:pPr>
      <w:r>
        <w:rPr>
          <w:rFonts w:cs="Arial"/>
          <w:bCs/>
        </w:rPr>
      </w:r>
    </w:p>
    <w:p>
      <w:pPr>
        <w:pStyle w:val="ListParagraph"/>
        <w:numPr>
          <w:ilvl w:val="0"/>
          <w:numId w:val="2"/>
        </w:numPr>
        <w:spacing w:lineRule="auto" w:line="240" w:before="0" w:after="120"/>
        <w:contextualSpacing/>
        <w:rPr>
          <w:rFonts w:cs="Arial"/>
          <w:bCs/>
        </w:rPr>
      </w:pPr>
      <w:r>
        <w:rPr>
          <w:rFonts w:cs="Arial"/>
          <w:bCs/>
        </w:rPr>
        <w:t>To be aware of and act upon as necessary the Authority’s Safeguarding Procedures.</w:t>
      </w:r>
    </w:p>
    <w:p>
      <w:pPr>
        <w:pStyle w:val="ListParagraph"/>
        <w:rPr>
          <w:rFonts w:cs="Arial"/>
          <w:bCs/>
        </w:rPr>
      </w:pPr>
      <w:r>
        <w:rPr>
          <w:rFonts w:cs="Arial"/>
          <w:bCs/>
        </w:rPr>
      </w:r>
    </w:p>
    <w:p>
      <w:pPr>
        <w:pStyle w:val="ListParagraph"/>
        <w:numPr>
          <w:ilvl w:val="0"/>
          <w:numId w:val="2"/>
        </w:numPr>
        <w:spacing w:lineRule="auto" w:line="240" w:before="0" w:after="120"/>
        <w:contextualSpacing/>
        <w:rPr>
          <w:rFonts w:cs="Arial"/>
          <w:bCs/>
        </w:rPr>
      </w:pPr>
      <w:r>
        <w:rPr>
          <w:rFonts w:cs="Arial"/>
          <w:bCs/>
        </w:rPr>
        <w:t>To contribute to training to SENCOs, headteachers, governors and others as appropriate.</w:t>
      </w:r>
    </w:p>
    <w:p>
      <w:pPr>
        <w:pStyle w:val="ListParagraph"/>
        <w:rPr>
          <w:rFonts w:cs="Arial"/>
          <w:bCs/>
        </w:rPr>
      </w:pPr>
      <w:r>
        <w:rPr>
          <w:rFonts w:cs="Arial"/>
          <w:bCs/>
        </w:rPr>
      </w:r>
    </w:p>
    <w:p>
      <w:pPr>
        <w:pStyle w:val="ListParagraph"/>
        <w:numPr>
          <w:ilvl w:val="0"/>
          <w:numId w:val="2"/>
        </w:numPr>
        <w:spacing w:lineRule="auto" w:line="240" w:before="0" w:after="120"/>
        <w:contextualSpacing/>
        <w:rPr>
          <w:rFonts w:cs="Arial"/>
          <w:bCs/>
        </w:rPr>
      </w:pPr>
      <w:r>
        <w:rPr>
          <w:rFonts w:cs="Arial"/>
          <w:bCs/>
        </w:rPr>
        <w:t>To take the lead role in particular tasks identified in the Service Delivery Plan.</w:t>
      </w:r>
    </w:p>
    <w:p>
      <w:pPr>
        <w:pStyle w:val="ListParagraph"/>
        <w:spacing w:lineRule="auto" w:line="240" w:before="0" w:after="120"/>
        <w:contextualSpacing/>
        <w:rPr>
          <w:rFonts w:cs="Arial"/>
          <w:b/>
          <w:b/>
        </w:rPr>
      </w:pPr>
      <w:r>
        <w:rPr>
          <w:rFonts w:cs="Arial"/>
          <w:b/>
        </w:rPr>
      </w:r>
    </w:p>
    <w:tbl>
      <w:tblPr>
        <w:tblW w:w="9637" w:type="dxa"/>
        <w:jc w:val="left"/>
        <w:tblInd w:w="0" w:type="dxa"/>
        <w:tblCellMar>
          <w:top w:w="57" w:type="dxa"/>
          <w:left w:w="108" w:type="dxa"/>
          <w:bottom w:w="57" w:type="dxa"/>
          <w:right w:w="108" w:type="dxa"/>
        </w:tblCellMar>
      </w:tblPr>
      <w:tblGrid>
        <w:gridCol w:w="4822"/>
        <w:gridCol w:w="4815"/>
      </w:tblGrid>
      <w:tr>
        <w:trPr/>
        <w:tc>
          <w:tcPr>
            <w:tcW w:w="4822" w:type="dxa"/>
            <w:tcBorders/>
            <w:shd w:fill="auto" w:val="clear"/>
          </w:tcPr>
          <w:p>
            <w:pPr>
              <w:pStyle w:val="Normal"/>
              <w:spacing w:lineRule="auto" w:line="240" w:before="0" w:after="0"/>
              <w:rPr>
                <w:rFonts w:ascii="Arial" w:hAnsi="Arial" w:cs="Arial"/>
                <w:b/>
                <w:b/>
              </w:rPr>
            </w:pPr>
            <w:r>
              <w:rPr>
                <w:rFonts w:cs="Arial" w:ascii="Arial" w:hAnsi="Arial"/>
                <w:b/>
              </w:rPr>
              <w:t xml:space="preserve">Date Job Description prepared/updated: </w:t>
            </w:r>
          </w:p>
        </w:tc>
        <w:tc>
          <w:tcPr>
            <w:tcW w:w="4815" w:type="dxa"/>
            <w:tcBorders/>
            <w:shd w:fill="auto" w:val="clear"/>
          </w:tcPr>
          <w:p>
            <w:pPr>
              <w:pStyle w:val="Normal"/>
              <w:spacing w:lineRule="auto" w:line="240" w:before="0" w:after="0"/>
              <w:rPr>
                <w:rFonts w:ascii="Arial" w:hAnsi="Arial" w:cs="Arial"/>
                <w:bCs/>
              </w:rPr>
            </w:pPr>
            <w:r>
              <w:rPr>
                <w:rFonts w:cs="Arial" w:ascii="Arial" w:hAnsi="Arial"/>
                <w:bCs/>
              </w:rPr>
              <w:t>April 2024</w:t>
            </w:r>
          </w:p>
        </w:tc>
      </w:tr>
      <w:tr>
        <w:trPr/>
        <w:tc>
          <w:tcPr>
            <w:tcW w:w="4822" w:type="dxa"/>
            <w:tcBorders/>
            <w:shd w:fill="auto" w:val="clear"/>
          </w:tcPr>
          <w:p>
            <w:pPr>
              <w:pStyle w:val="Normal"/>
              <w:spacing w:lineRule="auto" w:line="240" w:before="0" w:after="0"/>
              <w:rPr>
                <w:rFonts w:ascii="Arial" w:hAnsi="Arial" w:cs="Arial"/>
                <w:b/>
                <w:b/>
              </w:rPr>
            </w:pPr>
            <w:r>
              <w:rPr>
                <w:rFonts w:cs="Arial" w:ascii="Arial" w:hAnsi="Arial"/>
                <w:b/>
              </w:rPr>
              <w:t>Job Description prepared by:</w:t>
            </w:r>
          </w:p>
        </w:tc>
        <w:tc>
          <w:tcPr>
            <w:tcW w:w="4815" w:type="dxa"/>
            <w:tcBorders/>
            <w:shd w:fill="auto" w:val="clear"/>
          </w:tcPr>
          <w:p>
            <w:pPr>
              <w:pStyle w:val="Normal"/>
              <w:spacing w:lineRule="auto" w:line="240" w:before="0" w:after="0"/>
              <w:rPr>
                <w:rFonts w:ascii="Arial" w:hAnsi="Arial" w:cs="Arial"/>
              </w:rPr>
            </w:pPr>
            <w:r>
              <w:rPr>
                <w:rFonts w:cs="Arial" w:ascii="Arial" w:hAnsi="Arial"/>
              </w:rPr>
              <w:t>Head of Service Children with SEN</w:t>
            </w:r>
          </w:p>
        </w:tc>
      </w:tr>
    </w:tbl>
    <w:p>
      <w:pPr>
        <w:pStyle w:val="Normal"/>
        <w:rPr/>
      </w:pPr>
      <w:r>
        <w:rPr/>
      </w:r>
    </w:p>
    <w:p>
      <w:pPr>
        <w:pStyle w:val="Normal"/>
        <w:rPr>
          <w:b/>
          <w:b/>
          <w:bCs/>
          <w:sz w:val="40"/>
          <w:szCs w:val="40"/>
        </w:rPr>
      </w:pPr>
      <w:r>
        <w:rPr>
          <w:b/>
          <w:bCs/>
          <w:sz w:val="40"/>
          <w:szCs w:val="40"/>
        </w:rPr>
      </w:r>
    </w:p>
    <w:p>
      <w:pPr>
        <w:pStyle w:val="Normal"/>
        <w:rPr>
          <w:b/>
          <w:b/>
          <w:bCs/>
          <w:sz w:val="40"/>
          <w:szCs w:val="40"/>
        </w:rPr>
      </w:pPr>
      <w:r>
        <w:rPr>
          <w:b/>
          <w:bCs/>
          <w:sz w:val="40"/>
          <w:szCs w:val="40"/>
        </w:rPr>
      </w:r>
    </w:p>
    <w:p>
      <w:pPr>
        <w:pStyle w:val="Normal"/>
        <w:rPr>
          <w:b/>
          <w:b/>
          <w:bCs/>
          <w:sz w:val="40"/>
          <w:szCs w:val="40"/>
        </w:rPr>
      </w:pPr>
      <w:r>
        <w:rPr>
          <w:b/>
          <w:bCs/>
          <w:sz w:val="40"/>
          <w:szCs w:val="40"/>
        </w:rPr>
      </w:r>
    </w:p>
    <w:p>
      <w:pPr>
        <w:pStyle w:val="Normal"/>
        <w:rPr>
          <w:b/>
          <w:b/>
          <w:bCs/>
          <w:sz w:val="40"/>
          <w:szCs w:val="40"/>
        </w:rPr>
      </w:pPr>
      <w:r>
        <w:rPr>
          <w:b/>
          <w:bCs/>
          <w:sz w:val="40"/>
          <w:szCs w:val="40"/>
        </w:rPr>
      </w:r>
    </w:p>
    <w:p>
      <w:pPr>
        <w:pStyle w:val="Normal"/>
        <w:rPr>
          <w:b/>
          <w:b/>
          <w:bCs/>
          <w:sz w:val="40"/>
          <w:szCs w:val="40"/>
        </w:rPr>
      </w:pPr>
      <w:r>
        <w:rPr>
          <w:b/>
          <w:bCs/>
          <w:sz w:val="40"/>
          <w:szCs w:val="40"/>
        </w:rPr>
      </w:r>
    </w:p>
    <w:p>
      <w:pPr>
        <w:pStyle w:val="Normal"/>
        <w:rPr>
          <w:b/>
          <w:b/>
          <w:bCs/>
          <w:sz w:val="40"/>
          <w:szCs w:val="40"/>
        </w:rPr>
      </w:pPr>
      <w:r>
        <w:rPr>
          <w:b/>
          <w:bCs/>
          <w:sz w:val="40"/>
          <w:szCs w:val="40"/>
        </w:rPr>
      </w:r>
    </w:p>
    <w:p>
      <w:pPr>
        <w:pStyle w:val="Normal"/>
        <w:rPr>
          <w:b/>
          <w:b/>
          <w:bCs/>
          <w:sz w:val="40"/>
          <w:szCs w:val="40"/>
        </w:rPr>
      </w:pPr>
      <w:r>
        <w:rPr>
          <w:b/>
          <w:bCs/>
          <w:sz w:val="40"/>
          <w:szCs w:val="40"/>
        </w:rPr>
      </w:r>
    </w:p>
    <w:p>
      <w:pPr>
        <w:pStyle w:val="Normal"/>
        <w:rPr>
          <w:b/>
          <w:b/>
          <w:bCs/>
          <w:sz w:val="40"/>
          <w:szCs w:val="40"/>
        </w:rPr>
      </w:pPr>
      <w:r>
        <w:rPr>
          <w:b/>
          <w:bCs/>
          <w:sz w:val="40"/>
          <w:szCs w:val="40"/>
        </w:rPr>
      </w:r>
    </w:p>
    <w:p>
      <w:pPr>
        <w:pStyle w:val="Normal"/>
        <w:rPr>
          <w:b/>
          <w:b/>
          <w:bCs/>
          <w:sz w:val="40"/>
          <w:szCs w:val="40"/>
        </w:rPr>
      </w:pPr>
      <w:r>
        <w:rPr>
          <w:b/>
          <w:bCs/>
          <w:sz w:val="40"/>
          <w:szCs w:val="40"/>
        </w:rPr>
      </w:r>
    </w:p>
    <w:p>
      <w:pPr>
        <w:pStyle w:val="Normal"/>
        <w:rPr>
          <w:b/>
          <w:b/>
          <w:bCs/>
          <w:sz w:val="40"/>
          <w:szCs w:val="40"/>
        </w:rPr>
      </w:pPr>
      <w:r>
        <w:rPr>
          <w:b/>
          <w:bCs/>
          <w:sz w:val="40"/>
          <w:szCs w:val="40"/>
        </w:rPr>
      </w:r>
    </w:p>
    <w:p>
      <w:pPr>
        <w:pStyle w:val="Normal"/>
        <w:rPr>
          <w:b/>
          <w:b/>
          <w:bCs/>
          <w:sz w:val="40"/>
          <w:szCs w:val="40"/>
        </w:rPr>
      </w:pPr>
      <w:r>
        <w:rPr>
          <w:b/>
          <w:bCs/>
          <w:sz w:val="40"/>
          <w:szCs w:val="40"/>
        </w:rPr>
      </w:r>
    </w:p>
    <w:p>
      <w:pPr>
        <w:pStyle w:val="Normal"/>
        <w:rPr>
          <w:b/>
          <w:b/>
          <w:bCs/>
          <w:sz w:val="40"/>
          <w:szCs w:val="40"/>
        </w:rPr>
      </w:pPr>
      <w:r>
        <w:rPr>
          <w:b/>
          <w:bCs/>
          <w:sz w:val="40"/>
          <w:szCs w:val="40"/>
        </w:rPr>
      </w:r>
    </w:p>
    <w:p>
      <w:pPr>
        <w:pStyle w:val="Normal"/>
        <w:rPr>
          <w:b/>
          <w:b/>
          <w:bCs/>
          <w:sz w:val="40"/>
          <w:szCs w:val="40"/>
        </w:rPr>
      </w:pPr>
      <w:r>
        <w:rPr>
          <w:b/>
          <w:bCs/>
          <w:sz w:val="40"/>
          <w:szCs w:val="40"/>
        </w:rPr>
      </w:r>
    </w:p>
    <w:p>
      <w:pPr>
        <w:pStyle w:val="Normal"/>
        <w:rPr>
          <w:b/>
          <w:b/>
          <w:bCs/>
          <w:sz w:val="40"/>
          <w:szCs w:val="40"/>
        </w:rPr>
      </w:pPr>
      <w:r>
        <w:rPr>
          <w:b/>
          <w:bCs/>
          <w:sz w:val="40"/>
          <w:szCs w:val="40"/>
        </w:rPr>
      </w:r>
    </w:p>
    <w:p>
      <w:pPr>
        <w:pStyle w:val="Normal"/>
        <w:rPr>
          <w:b/>
          <w:b/>
          <w:bCs/>
          <w:sz w:val="40"/>
          <w:szCs w:val="40"/>
        </w:rPr>
      </w:pPr>
      <w:r>
        <w:rPr>
          <w:b/>
          <w:bCs/>
          <w:sz w:val="40"/>
          <w:szCs w:val="40"/>
        </w:rPr>
        <w:t>Person Specification</w:t>
      </w:r>
    </w:p>
    <w:tbl>
      <w:tblPr>
        <w:tblW w:w="9638" w:type="dxa"/>
        <w:jc w:val="left"/>
        <w:tblInd w:w="0" w:type="dxa"/>
        <w:tblCellMar>
          <w:top w:w="0" w:type="dxa"/>
          <w:left w:w="108" w:type="dxa"/>
          <w:bottom w:w="0" w:type="dxa"/>
          <w:right w:w="108" w:type="dxa"/>
        </w:tblCellMar>
      </w:tblPr>
      <w:tblGrid>
        <w:gridCol w:w="646"/>
        <w:gridCol w:w="31"/>
        <w:gridCol w:w="918"/>
        <w:gridCol w:w="135"/>
        <w:gridCol w:w="4082"/>
        <w:gridCol w:w="374"/>
        <w:gridCol w:w="19"/>
        <w:gridCol w:w="3423"/>
        <w:gridCol w:w="10"/>
      </w:tblGrid>
      <w:tr>
        <w:trPr/>
        <w:tc>
          <w:tcPr>
            <w:tcW w:w="1595" w:type="dxa"/>
            <w:gridSpan w:val="3"/>
            <w:tcBorders/>
            <w:shd w:fill="auto" w:val="clear"/>
          </w:tcPr>
          <w:p>
            <w:pPr>
              <w:pStyle w:val="Normal"/>
              <w:spacing w:lineRule="auto" w:line="240" w:before="60" w:after="60"/>
              <w:rPr>
                <w:rFonts w:ascii="Arial" w:hAnsi="Arial" w:cs="Arial"/>
                <w:b/>
                <w:b/>
              </w:rPr>
            </w:pPr>
            <w:r>
              <w:rPr>
                <w:rFonts w:cs="Arial" w:ascii="Arial" w:hAnsi="Arial"/>
                <w:b/>
              </w:rPr>
              <w:t xml:space="preserve">Department </w:t>
            </w:r>
          </w:p>
        </w:tc>
        <w:tc>
          <w:tcPr>
            <w:tcW w:w="8033" w:type="dxa"/>
            <w:gridSpan w:val="5"/>
            <w:tcBorders/>
            <w:shd w:fill="auto" w:val="clear"/>
          </w:tcPr>
          <w:p>
            <w:pPr>
              <w:pStyle w:val="Normal"/>
              <w:spacing w:lineRule="auto" w:line="240" w:before="60" w:after="60"/>
              <w:rPr>
                <w:rFonts w:ascii="Arial" w:hAnsi="Arial" w:cs="Arial"/>
                <w:b/>
                <w:b/>
                <w:caps/>
              </w:rPr>
            </w:pPr>
            <w:r>
              <w:rPr>
                <w:rFonts w:cs="Arial" w:ascii="Arial" w:hAnsi="Arial"/>
                <w:b/>
                <w:caps/>
              </w:rPr>
              <w:t>Children’s SErvices</w:t>
            </w:r>
          </w:p>
        </w:tc>
      </w:tr>
      <w:tr>
        <w:trPr/>
        <w:tc>
          <w:tcPr>
            <w:tcW w:w="1595" w:type="dxa"/>
            <w:gridSpan w:val="3"/>
            <w:tcBorders>
              <w:bottom w:val="single" w:sz="4" w:space="0" w:color="000000"/>
            </w:tcBorders>
            <w:shd w:fill="auto" w:val="clear"/>
          </w:tcPr>
          <w:p>
            <w:pPr>
              <w:pStyle w:val="Normal"/>
              <w:spacing w:lineRule="auto" w:line="240" w:before="60" w:after="240"/>
              <w:rPr>
                <w:rFonts w:ascii="Arial" w:hAnsi="Arial" w:cs="Arial"/>
                <w:b/>
                <w:b/>
              </w:rPr>
            </w:pPr>
            <w:r>
              <w:rPr>
                <w:rFonts w:cs="Arial" w:ascii="Arial" w:hAnsi="Arial"/>
                <w:b/>
              </w:rPr>
              <w:t>Job Title</w:t>
            </w:r>
          </w:p>
        </w:tc>
        <w:tc>
          <w:tcPr>
            <w:tcW w:w="8033" w:type="dxa"/>
            <w:gridSpan w:val="5"/>
            <w:tcBorders>
              <w:bottom w:val="single" w:sz="4" w:space="0" w:color="000000"/>
            </w:tcBorders>
            <w:shd w:fill="auto" w:val="clear"/>
          </w:tcPr>
          <w:p>
            <w:pPr>
              <w:pStyle w:val="Normal"/>
              <w:spacing w:lineRule="auto" w:line="240" w:before="60" w:after="60"/>
              <w:rPr>
                <w:rFonts w:ascii="Arial" w:hAnsi="Arial" w:cs="Arial"/>
                <w:b/>
                <w:b/>
                <w:caps/>
              </w:rPr>
            </w:pPr>
            <w:r>
              <w:rPr>
                <w:rFonts w:cs="Arial" w:ascii="Arial" w:hAnsi="Arial"/>
                <w:b/>
                <w:caps/>
              </w:rPr>
              <w:t>SEND Assessment Officer (Post 16)</w:t>
            </w:r>
          </w:p>
        </w:tc>
      </w:tr>
      <w:tr>
        <w:trPr/>
        <w:tc>
          <w:tcPr>
            <w:tcW w:w="1595" w:type="dxa"/>
            <w:gridSpan w:val="3"/>
            <w:tcBorders>
              <w:top w:val="single" w:sz="4" w:space="0" w:color="000000"/>
              <w:left w:val="single" w:sz="4" w:space="0" w:color="000000"/>
              <w:bottom w:val="single" w:sz="4" w:space="0" w:color="000000"/>
            </w:tcBorders>
            <w:shd w:fill="auto" w:val="clear"/>
          </w:tcPr>
          <w:p>
            <w:pPr>
              <w:pStyle w:val="Normal"/>
              <w:spacing w:lineRule="auto" w:line="240" w:before="60" w:after="240"/>
              <w:rPr>
                <w:rFonts w:ascii="Arial" w:hAnsi="Arial" w:cs="Arial"/>
                <w:b/>
                <w:b/>
              </w:rPr>
            </w:pPr>
            <w:r>
              <w:rPr>
                <w:rFonts w:cs="Arial" w:ascii="Arial" w:hAnsi="Arial"/>
                <w:b/>
              </w:rPr>
              <w:t>Stage One</w:t>
            </w:r>
          </w:p>
        </w:tc>
        <w:tc>
          <w:tcPr>
            <w:tcW w:w="8043" w:type="dxa"/>
            <w:gridSpan w:val="5"/>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60" w:after="60"/>
              <w:rPr/>
            </w:pPr>
            <w:r>
              <w:rPr>
                <w:rFonts w:cs="Arial" w:ascii="Arial" w:hAnsi="Arial"/>
                <w:bCs/>
              </w:rPr>
              <w:t xml:space="preserve">Candidates who are care leavers, have a disability, are ex-armed forces or are a carer (see </w:t>
            </w:r>
            <w:r>
              <w:rPr>
                <w:rStyle w:val="InternetLink"/>
              </w:rPr>
              <w:t>Carers-Charter-FINAL.pdf (gmhsc.org.uk)</w:t>
            </w:r>
            <w:r>
              <w:rPr/>
              <w:t xml:space="preserve"> </w:t>
            </w:r>
            <w:r>
              <w:rPr>
                <w:rFonts w:cs="Arial" w:ascii="Arial" w:hAnsi="Arial"/>
                <w:bCs/>
              </w:rPr>
              <w:t xml:space="preserve">are guaranteed an interview if they meet the essential criteria for the role </w:t>
            </w:r>
          </w:p>
        </w:tc>
      </w:tr>
      <w:tr>
        <w:trPr/>
        <w:tc>
          <w:tcPr>
            <w:tcW w:w="6205" w:type="dxa"/>
            <w:gridSpan w:val="7"/>
            <w:tcBorders>
              <w:top w:val="single" w:sz="4" w:space="0" w:color="000000"/>
              <w:left w:val="single" w:sz="4" w:space="0" w:color="000000"/>
            </w:tcBorders>
            <w:shd w:fill="000000" w:val="clear"/>
          </w:tcPr>
          <w:p>
            <w:pPr>
              <w:pStyle w:val="Normal"/>
              <w:spacing w:lineRule="auto" w:line="240" w:before="60" w:after="60"/>
              <w:rPr>
                <w:rFonts w:ascii="Arial" w:hAnsi="Arial" w:cs="Arial"/>
                <w:b/>
                <w:b/>
                <w:color w:val="FFFFFF"/>
              </w:rPr>
            </w:pPr>
            <w:r>
              <w:rPr>
                <w:rFonts w:cs="Arial" w:ascii="Arial" w:hAnsi="Arial"/>
                <w:b/>
                <w:color w:val="FFFFFF"/>
              </w:rPr>
              <w:t>The Minimum Essential Requirements for the above Post are as Follows:</w:t>
            </w:r>
          </w:p>
        </w:tc>
        <w:tc>
          <w:tcPr>
            <w:tcW w:w="3433" w:type="dxa"/>
            <w:tcBorders>
              <w:top w:val="single" w:sz="4" w:space="0" w:color="000000"/>
              <w:left w:val="single" w:sz="4" w:space="0" w:color="000000"/>
              <w:right w:val="single" w:sz="4" w:space="0" w:color="000000"/>
            </w:tcBorders>
            <w:shd w:fill="000000" w:val="clear"/>
          </w:tcPr>
          <w:p>
            <w:pPr>
              <w:pStyle w:val="Normal"/>
              <w:spacing w:lineRule="auto" w:line="240" w:before="60" w:after="60"/>
              <w:rPr>
                <w:rFonts w:ascii="Arial" w:hAnsi="Arial" w:cs="Arial"/>
                <w:b/>
                <w:b/>
                <w:color w:val="FFFFFF"/>
              </w:rPr>
            </w:pPr>
            <w:r>
              <w:rPr>
                <w:rFonts w:cs="Arial" w:ascii="Arial" w:hAnsi="Arial"/>
                <w:b/>
                <w:color w:val="FFFFFF"/>
              </w:rPr>
              <w:t>Method of Assessment</w:t>
            </w:r>
          </w:p>
        </w:tc>
      </w:tr>
      <w:tr>
        <w:trPr>
          <w:cantSplit w:val="true"/>
        </w:trPr>
        <w:tc>
          <w:tcPr>
            <w:tcW w:w="646" w:type="dxa"/>
            <w:tcBorders>
              <w:bottom w:val="single" w:sz="4" w:space="0" w:color="000000"/>
            </w:tcBorders>
            <w:shd w:fill="D9D9D9" w:val="clear"/>
          </w:tcPr>
          <w:p>
            <w:pPr>
              <w:pStyle w:val="Normal"/>
              <w:spacing w:lineRule="auto" w:line="240" w:before="60" w:after="60"/>
              <w:rPr>
                <w:rFonts w:ascii="Arial" w:hAnsi="Arial" w:cs="Arial"/>
                <w:b/>
                <w:b/>
              </w:rPr>
            </w:pPr>
            <w:r>
              <w:rPr>
                <w:rFonts w:cs="Arial" w:ascii="Arial" w:hAnsi="Arial"/>
                <w:b/>
              </w:rPr>
              <w:t>1.</w:t>
            </w:r>
          </w:p>
        </w:tc>
        <w:tc>
          <w:tcPr>
            <w:tcW w:w="8982" w:type="dxa"/>
            <w:gridSpan w:val="7"/>
            <w:tcBorders>
              <w:bottom w:val="single" w:sz="4" w:space="0" w:color="000000"/>
            </w:tcBorders>
            <w:shd w:fill="D9D9D9" w:val="clear"/>
          </w:tcPr>
          <w:p>
            <w:pPr>
              <w:pStyle w:val="Normal"/>
              <w:spacing w:lineRule="auto" w:line="240" w:before="60" w:after="60"/>
              <w:rPr>
                <w:rFonts w:ascii="Arial" w:hAnsi="Arial" w:cs="Arial"/>
                <w:b/>
                <w:b/>
              </w:rPr>
            </w:pPr>
            <w:r>
              <w:rPr>
                <w:rFonts w:cs="Arial" w:ascii="Arial" w:hAnsi="Arial"/>
                <w:b/>
              </w:rPr>
              <w:t>Skills and Knowledge</w:t>
            </w:r>
          </w:p>
        </w:tc>
      </w:tr>
      <w:tr>
        <w:trPr>
          <w:cantSplit w:val="true"/>
        </w:trPr>
        <w:tc>
          <w:tcPr>
            <w:tcW w:w="646" w:type="dxa"/>
            <w:tcBorders>
              <w:top w:val="single" w:sz="4" w:space="0" w:color="000000"/>
              <w:bottom w:val="single" w:sz="4" w:space="0" w:color="000000"/>
            </w:tcBorders>
            <w:shd w:fill="auto" w:val="clear"/>
          </w:tcPr>
          <w:p>
            <w:pPr>
              <w:pStyle w:val="Normal"/>
              <w:spacing w:lineRule="auto" w:line="240" w:before="120" w:after="120"/>
              <w:rPr>
                <w:rFonts w:cs="Arial"/>
              </w:rPr>
            </w:pPr>
            <w:r>
              <w:rPr>
                <w:rFonts w:cs="Arial"/>
              </w:rPr>
              <w:t xml:space="preserve">1. </w:t>
            </w:r>
          </w:p>
        </w:tc>
        <w:tc>
          <w:tcPr>
            <w:tcW w:w="5559" w:type="dxa"/>
            <w:gridSpan w:val="6"/>
            <w:tcBorders>
              <w:top w:val="single" w:sz="4" w:space="0" w:color="000000"/>
              <w:bottom w:val="single" w:sz="4" w:space="0" w:color="000000"/>
            </w:tcBorders>
            <w:shd w:fill="auto" w:val="clear"/>
          </w:tcPr>
          <w:p>
            <w:pPr>
              <w:pStyle w:val="Normal"/>
              <w:spacing w:lineRule="auto" w:line="240" w:before="120" w:after="120"/>
              <w:ind w:left="0" w:right="175" w:hanging="0"/>
              <w:rPr>
                <w:rFonts w:ascii="Arial" w:hAnsi="Arial" w:cs="Arial"/>
              </w:rPr>
            </w:pPr>
            <w:r>
              <w:rPr>
                <w:rFonts w:cs="Arial" w:ascii="Arial" w:hAnsi="Arial"/>
              </w:rPr>
              <w:t>Knowledge and understanding of current SEND legislation within the LA framework in order to provide appropriate advice to parents, schools, multi-agency professionals and executive members.</w:t>
            </w:r>
          </w:p>
        </w:tc>
        <w:tc>
          <w:tcPr>
            <w:tcW w:w="3423" w:type="dxa"/>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Application Form / Interview</w:t>
            </w:r>
          </w:p>
        </w:tc>
      </w:tr>
      <w:tr>
        <w:trPr>
          <w:cantSplit w:val="true"/>
        </w:trPr>
        <w:tc>
          <w:tcPr>
            <w:tcW w:w="646" w:type="dxa"/>
            <w:tcBorders>
              <w:top w:val="single" w:sz="4" w:space="0" w:color="000000"/>
              <w:bottom w:val="single" w:sz="4" w:space="0" w:color="000000"/>
            </w:tcBorders>
            <w:shd w:fill="auto" w:val="clear"/>
          </w:tcPr>
          <w:p>
            <w:pPr>
              <w:pStyle w:val="Normal"/>
              <w:spacing w:lineRule="auto" w:line="240" w:before="120" w:after="120"/>
              <w:rPr>
                <w:rFonts w:cs="Arial"/>
              </w:rPr>
            </w:pPr>
            <w:r>
              <w:rPr>
                <w:rFonts w:cs="Arial"/>
              </w:rPr>
              <w:t xml:space="preserve">3. </w:t>
            </w:r>
          </w:p>
        </w:tc>
        <w:tc>
          <w:tcPr>
            <w:tcW w:w="5559" w:type="dxa"/>
            <w:gridSpan w:val="6"/>
            <w:tcBorders>
              <w:top w:val="single" w:sz="4" w:space="0" w:color="000000"/>
              <w:bottom w:val="single" w:sz="4" w:space="0" w:color="000000"/>
            </w:tcBorders>
            <w:shd w:fill="auto" w:val="clear"/>
          </w:tcPr>
          <w:p>
            <w:pPr>
              <w:pStyle w:val="Normal"/>
              <w:spacing w:lineRule="auto" w:line="240" w:before="120" w:after="120"/>
              <w:ind w:left="0" w:right="175" w:hanging="0"/>
              <w:rPr>
                <w:rFonts w:ascii="Arial" w:hAnsi="Arial" w:cs="Arial"/>
              </w:rPr>
            </w:pPr>
            <w:r>
              <w:rPr>
                <w:rFonts w:cs="Arial" w:ascii="Arial" w:hAnsi="Arial"/>
              </w:rPr>
              <w:t>Ability to evaluate and review assessment advice in order to make appropriate decisions in line with statutory requirements and council policy.</w:t>
            </w:r>
          </w:p>
        </w:tc>
        <w:tc>
          <w:tcPr>
            <w:tcW w:w="3423" w:type="dxa"/>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Application Form / Exercise / Interview</w:t>
            </w:r>
          </w:p>
        </w:tc>
      </w:tr>
      <w:tr>
        <w:trPr>
          <w:cantSplit w:val="true"/>
        </w:trPr>
        <w:tc>
          <w:tcPr>
            <w:tcW w:w="646" w:type="dxa"/>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4.</w:t>
            </w:r>
          </w:p>
        </w:tc>
        <w:tc>
          <w:tcPr>
            <w:tcW w:w="5559" w:type="dxa"/>
            <w:gridSpan w:val="6"/>
            <w:tcBorders>
              <w:top w:val="single" w:sz="4" w:space="0" w:color="000000"/>
              <w:bottom w:val="single" w:sz="4" w:space="0" w:color="000000"/>
            </w:tcBorders>
            <w:shd w:fill="auto" w:val="clear"/>
          </w:tcPr>
          <w:p>
            <w:pPr>
              <w:pStyle w:val="Normal"/>
              <w:spacing w:lineRule="auto" w:line="240" w:before="120" w:after="120"/>
              <w:ind w:left="0" w:right="175" w:hanging="0"/>
              <w:rPr>
                <w:rFonts w:ascii="Arial" w:hAnsi="Arial" w:cs="Arial"/>
              </w:rPr>
            </w:pPr>
            <w:r>
              <w:rPr>
                <w:rFonts w:cs="Arial" w:ascii="Arial" w:hAnsi="Arial"/>
              </w:rPr>
              <w:t>Ability to lead and manage a staff effectively.</w:t>
            </w:r>
          </w:p>
        </w:tc>
        <w:tc>
          <w:tcPr>
            <w:tcW w:w="3423" w:type="dxa"/>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Application Form / Interview</w:t>
            </w:r>
          </w:p>
        </w:tc>
      </w:tr>
      <w:tr>
        <w:trPr>
          <w:cantSplit w:val="true"/>
        </w:trPr>
        <w:tc>
          <w:tcPr>
            <w:tcW w:w="646" w:type="dxa"/>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5.</w:t>
            </w:r>
          </w:p>
        </w:tc>
        <w:tc>
          <w:tcPr>
            <w:tcW w:w="5559" w:type="dxa"/>
            <w:gridSpan w:val="6"/>
            <w:tcBorders>
              <w:bottom w:val="single" w:sz="4" w:space="0" w:color="000000"/>
            </w:tcBorders>
            <w:shd w:fill="auto" w:val="clear"/>
          </w:tcPr>
          <w:p>
            <w:pPr>
              <w:pStyle w:val="Normal"/>
              <w:spacing w:lineRule="auto" w:line="240" w:before="120" w:after="120"/>
              <w:ind w:left="0" w:right="175" w:hanging="0"/>
              <w:rPr>
                <w:rFonts w:ascii="Arial" w:hAnsi="Arial" w:cs="Arial"/>
              </w:rPr>
            </w:pPr>
            <w:r>
              <w:rPr>
                <w:rFonts w:cs="Arial" w:ascii="Arial" w:hAnsi="Arial"/>
              </w:rPr>
              <w:t>Ability to influence and negotiate with service users to achieve mutually agreed outcomes.</w:t>
            </w:r>
          </w:p>
        </w:tc>
        <w:tc>
          <w:tcPr>
            <w:tcW w:w="3423" w:type="dxa"/>
            <w:tcBorders>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Interview</w:t>
            </w:r>
          </w:p>
        </w:tc>
      </w:tr>
      <w:tr>
        <w:trPr>
          <w:cantSplit w:val="true"/>
        </w:trPr>
        <w:tc>
          <w:tcPr>
            <w:tcW w:w="646" w:type="dxa"/>
            <w:tcBorders>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6.</w:t>
            </w:r>
          </w:p>
        </w:tc>
        <w:tc>
          <w:tcPr>
            <w:tcW w:w="5559" w:type="dxa"/>
            <w:gridSpan w:val="6"/>
            <w:tcBorders>
              <w:bottom w:val="single" w:sz="4" w:space="0" w:color="000000"/>
            </w:tcBorders>
            <w:shd w:fill="auto" w:val="clear"/>
          </w:tcPr>
          <w:p>
            <w:pPr>
              <w:pStyle w:val="Normal"/>
              <w:spacing w:lineRule="auto" w:line="240" w:before="120" w:after="120"/>
              <w:ind w:left="0" w:right="175" w:hanging="0"/>
              <w:rPr>
                <w:rFonts w:ascii="Arial" w:hAnsi="Arial" w:cs="Arial"/>
              </w:rPr>
            </w:pPr>
            <w:r>
              <w:rPr>
                <w:rFonts w:cs="Arial" w:ascii="Arial" w:hAnsi="Arial"/>
              </w:rPr>
              <w:t>Ability to communicate effectively both orally and in writing at all levels both inside and outside of the organisation.</w:t>
            </w:r>
          </w:p>
        </w:tc>
        <w:tc>
          <w:tcPr>
            <w:tcW w:w="3423" w:type="dxa"/>
            <w:tcBorders>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Application Form / Interview</w:t>
            </w:r>
          </w:p>
        </w:tc>
      </w:tr>
      <w:tr>
        <w:trPr>
          <w:cantSplit w:val="true"/>
        </w:trPr>
        <w:tc>
          <w:tcPr>
            <w:tcW w:w="646" w:type="dxa"/>
            <w:tcBorders>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7.</w:t>
            </w:r>
          </w:p>
        </w:tc>
        <w:tc>
          <w:tcPr>
            <w:tcW w:w="5559" w:type="dxa"/>
            <w:gridSpan w:val="6"/>
            <w:tcBorders>
              <w:bottom w:val="single" w:sz="4" w:space="0" w:color="000000"/>
            </w:tcBorders>
            <w:shd w:fill="auto" w:val="clear"/>
          </w:tcPr>
          <w:p>
            <w:pPr>
              <w:pStyle w:val="Normal"/>
              <w:spacing w:lineRule="auto" w:line="240" w:before="120" w:after="120"/>
              <w:ind w:left="0" w:right="175" w:hanging="0"/>
              <w:rPr>
                <w:rFonts w:ascii="Arial" w:hAnsi="Arial" w:cs="Arial"/>
              </w:rPr>
            </w:pPr>
            <w:r>
              <w:rPr>
                <w:rFonts w:cs="Arial" w:ascii="Arial" w:hAnsi="Arial"/>
              </w:rPr>
              <w:t>Ability to build relationships and network with a variety of agencies to deliver appropriate outcomes.</w:t>
            </w:r>
          </w:p>
        </w:tc>
        <w:tc>
          <w:tcPr>
            <w:tcW w:w="3423" w:type="dxa"/>
            <w:tcBorders>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Interview</w:t>
            </w:r>
          </w:p>
        </w:tc>
      </w:tr>
      <w:tr>
        <w:trPr>
          <w:cantSplit w:val="true"/>
        </w:trPr>
        <w:tc>
          <w:tcPr>
            <w:tcW w:w="646" w:type="dxa"/>
            <w:tcBorders>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 xml:space="preserve">8. </w:t>
            </w:r>
          </w:p>
        </w:tc>
        <w:tc>
          <w:tcPr>
            <w:tcW w:w="5559" w:type="dxa"/>
            <w:gridSpan w:val="6"/>
            <w:tcBorders>
              <w:bottom w:val="single" w:sz="4" w:space="0" w:color="000000"/>
            </w:tcBorders>
            <w:shd w:fill="auto" w:val="clear"/>
          </w:tcPr>
          <w:p>
            <w:pPr>
              <w:pStyle w:val="Normal"/>
              <w:spacing w:lineRule="auto" w:line="240" w:before="120" w:after="120"/>
              <w:ind w:left="0" w:right="175" w:hanging="0"/>
              <w:rPr>
                <w:rFonts w:ascii="Arial" w:hAnsi="Arial" w:cs="Arial"/>
              </w:rPr>
            </w:pPr>
            <w:r>
              <w:rPr>
                <w:rFonts w:cs="Arial" w:ascii="Arial" w:hAnsi="Arial"/>
              </w:rPr>
              <w:t>Ability to maintain positive and professional behaviours and values in all circumstances, displaying self awareness and modifying own behaviours in accordance with circumstance.</w:t>
            </w:r>
          </w:p>
        </w:tc>
        <w:tc>
          <w:tcPr>
            <w:tcW w:w="3423" w:type="dxa"/>
            <w:tcBorders>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Interview</w:t>
            </w:r>
          </w:p>
        </w:tc>
      </w:tr>
      <w:tr>
        <w:trPr>
          <w:cantSplit w:val="true"/>
        </w:trPr>
        <w:tc>
          <w:tcPr>
            <w:tcW w:w="646" w:type="dxa"/>
            <w:tcBorders>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9.</w:t>
            </w:r>
          </w:p>
        </w:tc>
        <w:tc>
          <w:tcPr>
            <w:tcW w:w="5559" w:type="dxa"/>
            <w:gridSpan w:val="6"/>
            <w:tcBorders>
              <w:bottom w:val="single" w:sz="4" w:space="0" w:color="000000"/>
            </w:tcBorders>
            <w:shd w:fill="auto" w:val="clear"/>
          </w:tcPr>
          <w:p>
            <w:pPr>
              <w:pStyle w:val="Normal"/>
              <w:spacing w:lineRule="auto" w:line="240" w:before="120" w:after="120"/>
              <w:ind w:left="0" w:right="175" w:hanging="0"/>
              <w:rPr>
                <w:rFonts w:ascii="Arial" w:hAnsi="Arial" w:cs="Arial"/>
              </w:rPr>
            </w:pPr>
            <w:r>
              <w:rPr>
                <w:rFonts w:cs="Arial" w:ascii="Arial" w:hAnsi="Arial"/>
              </w:rPr>
              <w:t>Demonstrate effective self management, applying own initiative to ensure outcomes are delivered within agreed deadlines.</w:t>
            </w:r>
          </w:p>
        </w:tc>
        <w:tc>
          <w:tcPr>
            <w:tcW w:w="3423" w:type="dxa"/>
            <w:tcBorders>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Application Form / Interview</w:t>
            </w:r>
          </w:p>
        </w:tc>
      </w:tr>
      <w:tr>
        <w:trPr>
          <w:cantSplit w:val="true"/>
        </w:trPr>
        <w:tc>
          <w:tcPr>
            <w:tcW w:w="646" w:type="dxa"/>
            <w:tcBorders>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10.</w:t>
            </w:r>
          </w:p>
        </w:tc>
        <w:tc>
          <w:tcPr>
            <w:tcW w:w="5559" w:type="dxa"/>
            <w:gridSpan w:val="6"/>
            <w:tcBorders>
              <w:bottom w:val="single" w:sz="4" w:space="0" w:color="000000"/>
            </w:tcBorders>
            <w:shd w:fill="auto" w:val="clear"/>
          </w:tcPr>
          <w:p>
            <w:pPr>
              <w:pStyle w:val="Normal"/>
              <w:spacing w:lineRule="auto" w:line="240" w:before="120" w:after="120"/>
              <w:ind w:left="0" w:right="175" w:hanging="0"/>
              <w:rPr>
                <w:rFonts w:ascii="Arial" w:hAnsi="Arial" w:cs="Arial"/>
              </w:rPr>
            </w:pPr>
            <w:r>
              <w:rPr>
                <w:rFonts w:cs="Arial" w:ascii="Arial" w:hAnsi="Arial"/>
              </w:rPr>
              <w:t>Ability to apply innovative techniques and solutions when contributing to the delivery of the SIAP and other relevant development groups when representing the SENDAS.</w:t>
            </w:r>
          </w:p>
        </w:tc>
        <w:tc>
          <w:tcPr>
            <w:tcW w:w="3423" w:type="dxa"/>
            <w:tcBorders>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Interview</w:t>
            </w:r>
          </w:p>
        </w:tc>
      </w:tr>
      <w:tr>
        <w:trPr>
          <w:cantSplit w:val="true"/>
        </w:trPr>
        <w:tc>
          <w:tcPr>
            <w:tcW w:w="646" w:type="dxa"/>
            <w:tcBorders/>
            <w:shd w:fill="auto" w:val="clear"/>
          </w:tcPr>
          <w:p>
            <w:pPr>
              <w:pStyle w:val="Normal"/>
              <w:snapToGrid w:val="false"/>
              <w:spacing w:lineRule="auto" w:line="240" w:before="120" w:after="120"/>
              <w:rPr>
                <w:rFonts w:ascii="Arial" w:hAnsi="Arial" w:cs="Arial"/>
              </w:rPr>
            </w:pPr>
            <w:r>
              <w:rPr>
                <w:rFonts w:cs="Arial" w:ascii="Arial" w:hAnsi="Arial"/>
              </w:rPr>
            </w:r>
          </w:p>
        </w:tc>
        <w:tc>
          <w:tcPr>
            <w:tcW w:w="5559" w:type="dxa"/>
            <w:gridSpan w:val="6"/>
            <w:tcBorders>
              <w:bottom w:val="single" w:sz="4" w:space="0" w:color="000000"/>
            </w:tcBorders>
            <w:shd w:fill="auto" w:val="clear"/>
          </w:tcPr>
          <w:p>
            <w:pPr>
              <w:pStyle w:val="Normal"/>
              <w:spacing w:lineRule="auto" w:line="240" w:before="120" w:after="120"/>
              <w:ind w:left="0" w:right="175" w:hanging="0"/>
              <w:rPr>
                <w:rFonts w:ascii="Arial" w:hAnsi="Arial" w:cs="Arial"/>
              </w:rPr>
            </w:pPr>
            <w:r>
              <w:rPr>
                <w:rFonts w:cs="Arial" w:ascii="Arial" w:hAnsi="Arial"/>
              </w:rPr>
              <w:t>Ability to analyse and interpret data in order to produce and support appropriate management information.</w:t>
            </w:r>
          </w:p>
        </w:tc>
        <w:tc>
          <w:tcPr>
            <w:tcW w:w="3423" w:type="dxa"/>
            <w:tcBorders>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Exercise</w:t>
            </w:r>
          </w:p>
        </w:tc>
      </w:tr>
      <w:tr>
        <w:trPr>
          <w:cantSplit w:val="true"/>
        </w:trPr>
        <w:tc>
          <w:tcPr>
            <w:tcW w:w="9638" w:type="dxa"/>
            <w:gridSpan w:val="8"/>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60" w:after="60"/>
              <w:rPr>
                <w:rFonts w:ascii="Arial" w:hAnsi="Arial" w:cs="Arial"/>
                <w:b/>
                <w:b/>
              </w:rPr>
            </w:pPr>
            <w:r>
              <w:rPr>
                <w:rFonts w:cs="Arial" w:ascii="Arial" w:hAnsi="Arial"/>
                <w:b/>
              </w:rPr>
              <w:t>2.</w:t>
              <w:tab/>
              <w:t>Experience/Qualifications/Training etc</w:t>
            </w:r>
          </w:p>
        </w:tc>
      </w:tr>
      <w:tr>
        <w:trPr>
          <w:cantSplit w:val="true"/>
        </w:trPr>
        <w:tc>
          <w:tcPr>
            <w:tcW w:w="677" w:type="dxa"/>
            <w:gridSpan w:val="2"/>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1.</w:t>
            </w:r>
          </w:p>
        </w:tc>
        <w:tc>
          <w:tcPr>
            <w:tcW w:w="5509" w:type="dxa"/>
            <w:gridSpan w:val="4"/>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Experience of dealing with parents, schools and other agencies.</w:t>
            </w:r>
          </w:p>
        </w:tc>
        <w:tc>
          <w:tcPr>
            <w:tcW w:w="3442" w:type="dxa"/>
            <w:gridSpan w:val="2"/>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Application Form</w:t>
            </w:r>
          </w:p>
        </w:tc>
      </w:tr>
      <w:tr>
        <w:trPr>
          <w:cantSplit w:val="true"/>
        </w:trPr>
        <w:tc>
          <w:tcPr>
            <w:tcW w:w="677" w:type="dxa"/>
            <w:gridSpan w:val="2"/>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2.</w:t>
            </w:r>
          </w:p>
        </w:tc>
        <w:tc>
          <w:tcPr>
            <w:tcW w:w="5509" w:type="dxa"/>
            <w:gridSpan w:val="4"/>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Experience of caseload management</w:t>
            </w:r>
          </w:p>
        </w:tc>
        <w:tc>
          <w:tcPr>
            <w:tcW w:w="3442" w:type="dxa"/>
            <w:gridSpan w:val="2"/>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Application Form</w:t>
            </w:r>
          </w:p>
        </w:tc>
      </w:tr>
      <w:tr>
        <w:trPr>
          <w:cantSplit w:val="true"/>
        </w:trPr>
        <w:tc>
          <w:tcPr>
            <w:tcW w:w="677" w:type="dxa"/>
            <w:gridSpan w:val="2"/>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 xml:space="preserve">3. </w:t>
            </w:r>
          </w:p>
        </w:tc>
        <w:tc>
          <w:tcPr>
            <w:tcW w:w="5509" w:type="dxa"/>
            <w:gridSpan w:val="4"/>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A Level 6 qualification.</w:t>
            </w:r>
          </w:p>
        </w:tc>
        <w:tc>
          <w:tcPr>
            <w:tcW w:w="3442" w:type="dxa"/>
            <w:gridSpan w:val="2"/>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Application Form</w:t>
            </w:r>
          </w:p>
        </w:tc>
      </w:tr>
      <w:tr>
        <w:trPr>
          <w:cantSplit w:val="true"/>
        </w:trPr>
        <w:tc>
          <w:tcPr>
            <w:tcW w:w="6186" w:type="dxa"/>
            <w:gridSpan w:val="6"/>
            <w:tcBorders>
              <w:top w:val="single" w:sz="4" w:space="0" w:color="000000"/>
              <w:bottom w:val="single" w:sz="4" w:space="0" w:color="000000"/>
            </w:tcBorders>
            <w:shd w:fill="auto" w:val="clear"/>
          </w:tcPr>
          <w:p>
            <w:pPr>
              <w:pStyle w:val="Normal"/>
              <w:tabs>
                <w:tab w:val="clear" w:pos="720"/>
                <w:tab w:val="left" w:pos="850" w:leader="none"/>
              </w:tabs>
              <w:spacing w:lineRule="auto" w:line="240" w:before="120" w:after="120"/>
              <w:rPr>
                <w:rFonts w:ascii="Arial" w:hAnsi="Arial" w:cs="Arial"/>
              </w:rPr>
            </w:pPr>
            <w:r>
              <w:rPr>
                <w:rFonts w:cs="Arial" w:ascii="Arial" w:hAnsi="Arial"/>
              </w:rPr>
              <w:t>4.        Confident use of software applications including databases, spreadsheets, word processing, e-mail, internet etc</w:t>
            </w:r>
          </w:p>
        </w:tc>
        <w:tc>
          <w:tcPr>
            <w:tcW w:w="3442" w:type="dxa"/>
            <w:gridSpan w:val="2"/>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 xml:space="preserve">Application Form </w:t>
            </w:r>
          </w:p>
        </w:tc>
      </w:tr>
      <w:tr>
        <w:trPr>
          <w:cantSplit w:val="true"/>
        </w:trPr>
        <w:tc>
          <w:tcPr>
            <w:tcW w:w="9638" w:type="dxa"/>
            <w:gridSpan w:val="8"/>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60" w:after="60"/>
              <w:rPr>
                <w:rFonts w:ascii="Arial" w:hAnsi="Arial" w:cs="Arial"/>
                <w:b/>
                <w:b/>
              </w:rPr>
            </w:pPr>
            <w:r>
              <w:rPr>
                <w:rFonts w:cs="Arial" w:ascii="Arial" w:hAnsi="Arial"/>
                <w:b/>
              </w:rPr>
              <w:t>3.</w:t>
              <w:tab/>
              <w:t>Work Related Circumstances</w:t>
            </w:r>
          </w:p>
        </w:tc>
      </w:tr>
      <w:tr>
        <w:trPr>
          <w:cantSplit w:val="true"/>
        </w:trPr>
        <w:tc>
          <w:tcPr>
            <w:tcW w:w="677" w:type="dxa"/>
            <w:gridSpan w:val="2"/>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1.</w:t>
            </w:r>
          </w:p>
        </w:tc>
        <w:tc>
          <w:tcPr>
            <w:tcW w:w="5509" w:type="dxa"/>
            <w:gridSpan w:val="4"/>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All posts require the job holder to undertake mandatory training for the role and to regularly review their developmental needs in conjunction with their line manager. Development of our employees plays a key role in delivering our services</w:t>
            </w:r>
          </w:p>
        </w:tc>
        <w:tc>
          <w:tcPr>
            <w:tcW w:w="3442" w:type="dxa"/>
            <w:gridSpan w:val="2"/>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Interview</w:t>
            </w:r>
          </w:p>
        </w:tc>
      </w:tr>
      <w:tr>
        <w:trPr>
          <w:cantSplit w:val="true"/>
        </w:trPr>
        <w:tc>
          <w:tcPr>
            <w:tcW w:w="677" w:type="dxa"/>
            <w:gridSpan w:val="2"/>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2.</w:t>
            </w:r>
          </w:p>
        </w:tc>
        <w:tc>
          <w:tcPr>
            <w:tcW w:w="5509" w:type="dxa"/>
            <w:gridSpan w:val="4"/>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The Council has a framework of Values &amp; Behaviours that guide our behaviour and decision making to help achieve our vision.  All employees are expected to be mindful of these when undertaking their work.</w:t>
            </w:r>
          </w:p>
        </w:tc>
        <w:tc>
          <w:tcPr>
            <w:tcW w:w="3442" w:type="dxa"/>
            <w:gridSpan w:val="2"/>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Interview</w:t>
            </w:r>
          </w:p>
        </w:tc>
      </w:tr>
      <w:tr>
        <w:trPr>
          <w:cantSplit w:val="true"/>
        </w:trPr>
        <w:tc>
          <w:tcPr>
            <w:tcW w:w="677" w:type="dxa"/>
            <w:gridSpan w:val="2"/>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3.</w:t>
            </w:r>
          </w:p>
        </w:tc>
        <w:tc>
          <w:tcPr>
            <w:tcW w:w="5509" w:type="dxa"/>
            <w:gridSpan w:val="4"/>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An ability to attend meetings both within and outside of the Bolton area (this post is subject to casual car user allowance).</w:t>
            </w:r>
          </w:p>
        </w:tc>
        <w:tc>
          <w:tcPr>
            <w:tcW w:w="3442" w:type="dxa"/>
            <w:gridSpan w:val="2"/>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 xml:space="preserve">Interview  </w:t>
            </w:r>
          </w:p>
        </w:tc>
      </w:tr>
      <w:tr>
        <w:trPr>
          <w:cantSplit w:val="true"/>
        </w:trPr>
        <w:tc>
          <w:tcPr>
            <w:tcW w:w="677" w:type="dxa"/>
            <w:gridSpan w:val="2"/>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4.</w:t>
            </w:r>
          </w:p>
        </w:tc>
        <w:tc>
          <w:tcPr>
            <w:tcW w:w="5509" w:type="dxa"/>
            <w:gridSpan w:val="4"/>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Willingness to work flexibly to meet service level demands at any given time.</w:t>
            </w:r>
          </w:p>
        </w:tc>
        <w:tc>
          <w:tcPr>
            <w:tcW w:w="3442" w:type="dxa"/>
            <w:gridSpan w:val="2"/>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 xml:space="preserve">Interview  </w:t>
            </w:r>
          </w:p>
        </w:tc>
      </w:tr>
      <w:tr>
        <w:trPr>
          <w:trHeight w:val="653" w:hRule="atLeast"/>
        </w:trPr>
        <w:tc>
          <w:tcPr>
            <w:tcW w:w="1730" w:type="dxa"/>
            <w:gridSpan w:val="4"/>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b/>
                <w:b/>
              </w:rPr>
            </w:pPr>
            <w:r>
              <w:rPr>
                <w:rFonts w:cs="Arial" w:ascii="Arial" w:hAnsi="Arial"/>
                <w:b/>
              </w:rPr>
              <w:t>STAGE TWO</w:t>
            </w:r>
          </w:p>
        </w:tc>
        <w:tc>
          <w:tcPr>
            <w:tcW w:w="7908" w:type="dxa"/>
            <w:gridSpan w:val="4"/>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rPr>
                <w:rFonts w:ascii="Arial" w:hAnsi="Arial" w:cs="Arial"/>
              </w:rPr>
            </w:pPr>
            <w:r>
              <w:rPr>
                <w:rFonts w:cs="Arial" w:ascii="Arial" w:hAnsi="Arial"/>
              </w:rPr>
              <w:t>Will only be used in the event of a large number of applicants meeting the minimum essential requirements</w:t>
            </w:r>
          </w:p>
        </w:tc>
      </w:tr>
      <w:tr>
        <w:trPr/>
        <w:tc>
          <w:tcPr>
            <w:tcW w:w="6205" w:type="dxa"/>
            <w:gridSpan w:val="7"/>
            <w:tcBorders>
              <w:top w:val="single" w:sz="4" w:space="0" w:color="000000"/>
              <w:left w:val="single" w:sz="4" w:space="0" w:color="000000"/>
              <w:bottom w:val="single" w:sz="4" w:space="0" w:color="000000"/>
            </w:tcBorders>
            <w:shd w:fill="0A0A0A" w:val="clear"/>
          </w:tcPr>
          <w:p>
            <w:pPr>
              <w:pStyle w:val="Normal"/>
              <w:spacing w:lineRule="auto" w:line="240" w:before="120" w:after="120"/>
              <w:rPr>
                <w:rFonts w:ascii="Arial" w:hAnsi="Arial" w:cs="Arial"/>
                <w:b/>
                <w:b/>
                <w:color w:val="FFFFFF"/>
              </w:rPr>
            </w:pPr>
            <w:r>
              <w:rPr>
                <w:rFonts w:cs="Arial" w:ascii="Arial" w:hAnsi="Arial"/>
                <w:b/>
                <w:color w:val="FFFFFF"/>
              </w:rPr>
              <w:t>Additional Requirements</w:t>
            </w:r>
          </w:p>
        </w:tc>
        <w:tc>
          <w:tcPr>
            <w:tcW w:w="3433" w:type="dxa"/>
            <w:tcBorders>
              <w:top w:val="single" w:sz="4" w:space="0" w:color="000000"/>
              <w:left w:val="single" w:sz="4" w:space="0" w:color="000000"/>
              <w:bottom w:val="single" w:sz="4" w:space="0" w:color="000000"/>
              <w:right w:val="single" w:sz="4" w:space="0" w:color="000000"/>
            </w:tcBorders>
            <w:shd w:fill="0A0A0A" w:val="clear"/>
          </w:tcPr>
          <w:p>
            <w:pPr>
              <w:pStyle w:val="Normal"/>
              <w:spacing w:lineRule="auto" w:line="240" w:before="120" w:after="120"/>
              <w:rPr>
                <w:rFonts w:ascii="Arial" w:hAnsi="Arial" w:cs="Arial"/>
                <w:b/>
                <w:b/>
                <w:color w:val="FFFFFF"/>
              </w:rPr>
            </w:pPr>
            <w:r>
              <w:rPr>
                <w:rFonts w:cs="Arial" w:ascii="Arial" w:hAnsi="Arial"/>
                <w:b/>
                <w:color w:val="FFFFFF"/>
              </w:rPr>
              <w:t>Method of Assessment</w:t>
            </w:r>
          </w:p>
        </w:tc>
      </w:tr>
      <w:tr>
        <w:trPr>
          <w:cantSplit w:val="true"/>
        </w:trPr>
        <w:tc>
          <w:tcPr>
            <w:tcW w:w="9638" w:type="dxa"/>
            <w:gridSpan w:val="8"/>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60" w:after="60"/>
              <w:rPr>
                <w:rFonts w:ascii="Arial" w:hAnsi="Arial" w:cs="Arial"/>
                <w:b/>
                <w:b/>
              </w:rPr>
            </w:pPr>
            <w:r>
              <w:rPr>
                <w:rFonts w:cs="Arial" w:ascii="Arial" w:hAnsi="Arial"/>
                <w:b/>
              </w:rPr>
              <w:t>1.</w:t>
              <w:tab/>
              <w:t>Skills and Knowledge</w:t>
            </w:r>
          </w:p>
        </w:tc>
      </w:tr>
      <w:tr>
        <w:trPr>
          <w:cantSplit w:val="true"/>
        </w:trPr>
        <w:tc>
          <w:tcPr>
            <w:tcW w:w="646" w:type="dxa"/>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1.</w:t>
            </w:r>
          </w:p>
        </w:tc>
        <w:tc>
          <w:tcPr>
            <w:tcW w:w="5559" w:type="dxa"/>
            <w:gridSpan w:val="6"/>
            <w:tcBorders>
              <w:top w:val="single" w:sz="4" w:space="0" w:color="000000"/>
              <w:bottom w:val="single" w:sz="4" w:space="0" w:color="000000"/>
            </w:tcBorders>
            <w:shd w:fill="auto" w:val="clear"/>
          </w:tcPr>
          <w:p>
            <w:pPr>
              <w:pStyle w:val="Normal"/>
              <w:snapToGrid w:val="false"/>
              <w:spacing w:lineRule="auto" w:line="240" w:before="120" w:after="120"/>
              <w:rPr>
                <w:rFonts w:ascii="Arial" w:hAnsi="Arial" w:cs="Arial"/>
              </w:rPr>
            </w:pPr>
            <w:r>
              <w:rPr>
                <w:rFonts w:cs="Arial" w:ascii="Arial" w:hAnsi="Arial"/>
              </w:rPr>
            </w:r>
          </w:p>
        </w:tc>
        <w:tc>
          <w:tcPr>
            <w:tcW w:w="3423"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120" w:after="120"/>
              <w:rPr>
                <w:rFonts w:ascii="Arial" w:hAnsi="Arial" w:cs="Arial"/>
              </w:rPr>
            </w:pPr>
            <w:r>
              <w:rPr>
                <w:rFonts w:cs="Arial" w:ascii="Arial" w:hAnsi="Arial"/>
              </w:rPr>
            </w:r>
          </w:p>
        </w:tc>
      </w:tr>
      <w:tr>
        <w:trPr>
          <w:cantSplit w:val="true"/>
        </w:trPr>
        <w:tc>
          <w:tcPr>
            <w:tcW w:w="646" w:type="dxa"/>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2.</w:t>
            </w:r>
          </w:p>
        </w:tc>
        <w:tc>
          <w:tcPr>
            <w:tcW w:w="5559" w:type="dxa"/>
            <w:gridSpan w:val="6"/>
            <w:tcBorders>
              <w:top w:val="single" w:sz="4" w:space="0" w:color="000000"/>
              <w:bottom w:val="single" w:sz="4" w:space="0" w:color="000000"/>
            </w:tcBorders>
            <w:shd w:fill="auto" w:val="clear"/>
          </w:tcPr>
          <w:p>
            <w:pPr>
              <w:pStyle w:val="Normal"/>
              <w:snapToGrid w:val="false"/>
              <w:spacing w:lineRule="auto" w:line="240" w:before="120" w:after="120"/>
              <w:rPr>
                <w:rFonts w:ascii="Arial" w:hAnsi="Arial" w:cs="Arial"/>
              </w:rPr>
            </w:pPr>
            <w:r>
              <w:rPr>
                <w:rFonts w:cs="Arial" w:ascii="Arial" w:hAnsi="Arial"/>
              </w:rPr>
            </w:r>
          </w:p>
        </w:tc>
        <w:tc>
          <w:tcPr>
            <w:tcW w:w="3423"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120" w:after="120"/>
              <w:rPr>
                <w:rFonts w:ascii="Arial" w:hAnsi="Arial" w:cs="Arial"/>
              </w:rPr>
            </w:pPr>
            <w:r>
              <w:rPr>
                <w:rFonts w:cs="Arial" w:ascii="Arial" w:hAnsi="Arial"/>
              </w:rPr>
            </w:r>
          </w:p>
        </w:tc>
      </w:tr>
      <w:tr>
        <w:trPr>
          <w:cantSplit w:val="true"/>
        </w:trPr>
        <w:tc>
          <w:tcPr>
            <w:tcW w:w="9638" w:type="dxa"/>
            <w:gridSpan w:val="8"/>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60" w:after="60"/>
              <w:rPr>
                <w:rFonts w:ascii="Arial" w:hAnsi="Arial" w:cs="Arial"/>
                <w:b/>
                <w:b/>
              </w:rPr>
            </w:pPr>
            <w:r>
              <w:rPr>
                <w:rFonts w:cs="Arial" w:ascii="Arial" w:hAnsi="Arial"/>
                <w:b/>
              </w:rPr>
              <w:t>2.</w:t>
              <w:tab/>
              <w:t>Experience/Qualifications/Training etc</w:t>
            </w:r>
          </w:p>
        </w:tc>
      </w:tr>
      <w:tr>
        <w:trPr>
          <w:cantSplit w:val="true"/>
        </w:trPr>
        <w:tc>
          <w:tcPr>
            <w:tcW w:w="646" w:type="dxa"/>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1.</w:t>
            </w:r>
          </w:p>
        </w:tc>
        <w:tc>
          <w:tcPr>
            <w:tcW w:w="5559" w:type="dxa"/>
            <w:gridSpan w:val="6"/>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Experience of working within a Local Authority SEND team.</w:t>
            </w:r>
          </w:p>
        </w:tc>
        <w:tc>
          <w:tcPr>
            <w:tcW w:w="3423" w:type="dxa"/>
            <w:tcBorders>
              <w:top w:val="single" w:sz="4" w:space="0" w:color="000000"/>
              <w:left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Application Form</w:t>
            </w:r>
          </w:p>
        </w:tc>
      </w:tr>
      <w:tr>
        <w:trPr>
          <w:cantSplit w:val="true"/>
        </w:trPr>
        <w:tc>
          <w:tcPr>
            <w:tcW w:w="646" w:type="dxa"/>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2.</w:t>
            </w:r>
          </w:p>
        </w:tc>
        <w:tc>
          <w:tcPr>
            <w:tcW w:w="5559" w:type="dxa"/>
            <w:gridSpan w:val="6"/>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Experience of using and working with the CAPITA ONE computer system.</w:t>
            </w:r>
          </w:p>
        </w:tc>
        <w:tc>
          <w:tcPr>
            <w:tcW w:w="3423" w:type="dxa"/>
            <w:tcBorders>
              <w:top w:val="single" w:sz="4" w:space="0" w:color="000000"/>
              <w:left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Application Form</w:t>
            </w:r>
          </w:p>
        </w:tc>
      </w:tr>
      <w:tr>
        <w:trPr/>
        <w:tc>
          <w:tcPr>
            <w:tcW w:w="5812" w:type="dxa"/>
            <w:gridSpan w:val="5"/>
            <w:tcBorders/>
            <w:shd w:fill="auto" w:val="clear"/>
          </w:tcPr>
          <w:p>
            <w:pPr>
              <w:pStyle w:val="Normal"/>
              <w:spacing w:lineRule="auto" w:line="240" w:before="0" w:after="0"/>
              <w:rPr>
                <w:rFonts w:ascii="Arial" w:hAnsi="Arial" w:cs="Arial"/>
                <w:b/>
                <w:b/>
              </w:rPr>
            </w:pPr>
            <w:r>
              <w:rPr>
                <w:rFonts w:cs="Arial" w:ascii="Arial" w:hAnsi="Arial"/>
                <w:b/>
              </w:rPr>
              <w:t xml:space="preserve">Date Person Specification prepared/updated       </w:t>
            </w:r>
          </w:p>
        </w:tc>
        <w:tc>
          <w:tcPr>
            <w:tcW w:w="3816" w:type="dxa"/>
            <w:gridSpan w:val="3"/>
            <w:tcBorders/>
            <w:shd w:fill="auto" w:val="clear"/>
          </w:tcPr>
          <w:p>
            <w:pPr>
              <w:pStyle w:val="Normal"/>
              <w:spacing w:lineRule="auto" w:line="240" w:before="0" w:after="0"/>
              <w:rPr>
                <w:rFonts w:ascii="Arial" w:hAnsi="Arial" w:cs="Arial"/>
                <w:b/>
                <w:b/>
              </w:rPr>
            </w:pPr>
            <w:r>
              <w:rPr>
                <w:rFonts w:cs="Arial" w:ascii="Arial" w:hAnsi="Arial"/>
                <w:b/>
              </w:rPr>
              <w:t>April 2024</w:t>
            </w:r>
          </w:p>
        </w:tc>
      </w:tr>
      <w:tr>
        <w:trPr/>
        <w:tc>
          <w:tcPr>
            <w:tcW w:w="5812" w:type="dxa"/>
            <w:gridSpan w:val="5"/>
            <w:tcBorders/>
            <w:shd w:fill="auto" w:val="clear"/>
          </w:tcPr>
          <w:p>
            <w:pPr>
              <w:pStyle w:val="Normal"/>
              <w:spacing w:lineRule="auto" w:line="240" w:before="0" w:after="0"/>
              <w:rPr>
                <w:rFonts w:ascii="Arial" w:hAnsi="Arial" w:cs="Arial"/>
                <w:b/>
                <w:b/>
              </w:rPr>
            </w:pPr>
            <w:r>
              <w:rPr>
                <w:rFonts w:cs="Arial" w:ascii="Arial" w:hAnsi="Arial"/>
                <w:b/>
              </w:rPr>
              <w:t xml:space="preserve">Person Specification prepared by </w:t>
            </w:r>
          </w:p>
        </w:tc>
        <w:tc>
          <w:tcPr>
            <w:tcW w:w="3816" w:type="dxa"/>
            <w:gridSpan w:val="3"/>
            <w:tcBorders/>
            <w:shd w:fill="auto" w:val="clear"/>
          </w:tcPr>
          <w:p>
            <w:pPr>
              <w:pStyle w:val="Normal"/>
              <w:spacing w:lineRule="auto" w:line="240" w:before="0" w:after="0"/>
              <w:rPr>
                <w:rFonts w:ascii="Arial" w:hAnsi="Arial" w:cs="Arial"/>
                <w:b/>
                <w:b/>
                <w:bCs/>
              </w:rPr>
            </w:pPr>
            <w:r>
              <w:rPr>
                <w:rFonts w:cs="Arial" w:ascii="Arial" w:hAnsi="Arial"/>
                <w:b/>
                <w:bCs/>
              </w:rPr>
              <w:t>Head of Service Children with SEN</w:t>
            </w:r>
          </w:p>
        </w:tc>
      </w:tr>
    </w:tbl>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t>These core competencies are considered essential for all roles within Bolton Council. Please be prepared to be assessed on any of these during the interview process and, for the successful applicant, throughout the probationary period.</w:t>
      </w:r>
    </w:p>
    <w:p>
      <w:pPr>
        <w:pStyle w:val="Normal"/>
        <w:keepLines/>
        <w:spacing w:lineRule="auto" w:line="240" w:before="0" w:after="0"/>
        <w:rPr>
          <w:rFonts w:ascii="Arial" w:hAnsi="Arial" w:cs="Arial"/>
          <w:b/>
          <w:b/>
        </w:rPr>
      </w:pPr>
      <w:r>
        <w:rPr>
          <w:rFonts w:cs="Arial" w:ascii="Arial" w:hAnsi="Arial"/>
          <w:b/>
        </w:rPr>
      </w:r>
    </w:p>
    <w:p>
      <w:pPr>
        <w:pStyle w:val="Normal"/>
        <w:keepLines/>
        <w:spacing w:lineRule="auto" w:line="240" w:before="0" w:after="0"/>
        <w:rPr>
          <w:rFonts w:ascii="Arial" w:hAnsi="Arial" w:cs="Arial"/>
          <w:b/>
          <w:b/>
        </w:rPr>
      </w:pPr>
      <w:r>
        <w:rPr>
          <w:rFonts w:cs="Arial" w:ascii="Arial" w:hAnsi="Arial"/>
          <w:b/>
        </w:rPr>
        <w:t>Developing Self &amp; Others</w:t>
      </w:r>
    </w:p>
    <w:p>
      <w:pPr>
        <w:pStyle w:val="Normal"/>
        <w:spacing w:lineRule="auto" w:line="240" w:before="0" w:after="0"/>
        <w:rPr>
          <w:rFonts w:ascii="Arial" w:hAnsi="Arial" w:cs="Arial"/>
        </w:rPr>
      </w:pPr>
      <w:r>
        <w:rPr>
          <w:rFonts w:cs="Arial" w:ascii="Arial" w:hAnsi="Arial"/>
        </w:rPr>
        <w:t>Promote a learning environment to embed a learning culture.  Support others to develop their skills and knowledge to fulfil their potential. Actively pursue your own development. Support and promote the principles of Investors in People. </w:t>
      </w:r>
    </w:p>
    <w:p>
      <w:pPr>
        <w:pStyle w:val="Normal"/>
        <w:keepLines/>
        <w:spacing w:lineRule="auto" w:line="240" w:before="0" w:after="0"/>
        <w:rPr>
          <w:rFonts w:ascii="Arial" w:hAnsi="Arial" w:cs="Arial"/>
        </w:rPr>
      </w:pPr>
      <w:r>
        <w:rPr>
          <w:rFonts w:cs="Arial" w:ascii="Arial" w:hAnsi="Arial"/>
        </w:rPr>
      </w:r>
    </w:p>
    <w:p>
      <w:pPr>
        <w:pStyle w:val="Normal"/>
        <w:keepLines/>
        <w:spacing w:lineRule="auto" w:line="240" w:before="0" w:after="0"/>
        <w:rPr>
          <w:rFonts w:ascii="Arial" w:hAnsi="Arial" w:cs="Arial"/>
          <w:b/>
          <w:b/>
        </w:rPr>
      </w:pPr>
      <w:r>
        <w:rPr>
          <w:rFonts w:cs="Arial" w:ascii="Arial" w:hAnsi="Arial"/>
          <w:b/>
        </w:rPr>
        <w:t>Civil Contingencies</w:t>
      </w:r>
    </w:p>
    <w:p>
      <w:pPr>
        <w:pStyle w:val="Normal"/>
        <w:spacing w:lineRule="auto" w:line="240" w:before="0" w:after="0"/>
        <w:rPr>
          <w:rFonts w:ascii="Arial" w:hAnsi="Arial" w:cs="Arial"/>
        </w:rPr>
      </w:pPr>
      <w:r>
        <w:rPr>
          <w:rFonts w:cs="Arial" w:ascii="Arial" w:hAnsi="Arial"/>
        </w:rPr>
        <w:t>Bolton Council has a statutory duty under the Civil Contingencies Act to respond in the event of an emergency. If Bolton Council’s Emergency Management Plan is activated, you may be required to assist in maintaining key Council services and supporting the community.  This could require working outside of routine working hours and working from places other than your normal place of work.</w:t>
      </w:r>
    </w:p>
    <w:p>
      <w:pPr>
        <w:pStyle w:val="Normal"/>
        <w:keepLines/>
        <w:spacing w:lineRule="auto" w:line="240" w:before="0" w:after="0"/>
        <w:ind w:left="1069" w:right="0" w:hanging="0"/>
        <w:rPr>
          <w:rFonts w:ascii="Arial" w:hAnsi="Arial" w:cs="Arial"/>
        </w:rPr>
      </w:pPr>
      <w:r>
        <w:rPr>
          <w:rFonts w:cs="Arial" w:ascii="Arial" w:hAnsi="Arial"/>
        </w:rPr>
      </w:r>
    </w:p>
    <w:p>
      <w:pPr>
        <w:pStyle w:val="Normal"/>
        <w:keepLines/>
        <w:spacing w:lineRule="auto" w:line="240" w:before="0" w:after="0"/>
        <w:rPr>
          <w:rFonts w:ascii="Arial" w:hAnsi="Arial" w:cs="Arial"/>
          <w:b/>
          <w:b/>
        </w:rPr>
      </w:pPr>
      <w:r>
        <w:rPr>
          <w:rFonts w:cs="Arial" w:ascii="Arial" w:hAnsi="Arial"/>
          <w:b/>
        </w:rPr>
        <w:t>Equality &amp; Diversity</w:t>
      </w:r>
    </w:p>
    <w:p>
      <w:pPr>
        <w:pStyle w:val="Normal"/>
        <w:spacing w:lineRule="auto" w:line="240" w:before="0" w:after="0"/>
        <w:rPr>
          <w:rFonts w:ascii="Arial" w:hAnsi="Arial" w:cs="Arial"/>
        </w:rPr>
      </w:pPr>
      <w:r>
        <w:rPr>
          <w:rFonts w:cs="Arial" w:ascii="Arial" w:hAnsi="Arial"/>
        </w:rPr>
        <w:t>Uphold the principles of fairness and the Equality Act in all undertakings as a Bolton Council employee, including providing a fair, accessible service irrespective of customer’s race, religion, gender, sexuality, disability or age.</w:t>
      </w:r>
    </w:p>
    <w:p>
      <w:pPr>
        <w:pStyle w:val="Normal"/>
        <w:keepLines/>
        <w:spacing w:lineRule="auto" w:line="240" w:before="0" w:after="0"/>
        <w:rPr>
          <w:rFonts w:ascii="Arial" w:hAnsi="Arial" w:cs="Arial"/>
        </w:rPr>
      </w:pPr>
      <w:r>
        <w:rPr>
          <w:rFonts w:cs="Arial" w:ascii="Arial" w:hAnsi="Arial"/>
        </w:rPr>
      </w:r>
    </w:p>
    <w:p>
      <w:pPr>
        <w:pStyle w:val="Normal"/>
        <w:keepLines/>
        <w:spacing w:lineRule="auto" w:line="240" w:before="0" w:after="0"/>
        <w:rPr>
          <w:rFonts w:ascii="Arial" w:hAnsi="Arial" w:cs="Arial"/>
          <w:b/>
          <w:b/>
        </w:rPr>
      </w:pPr>
      <w:r>
        <w:rPr>
          <w:rFonts w:cs="Arial" w:ascii="Arial" w:hAnsi="Arial"/>
          <w:b/>
        </w:rPr>
        <w:t>Customer Care</w:t>
      </w:r>
    </w:p>
    <w:p>
      <w:pPr>
        <w:pStyle w:val="Normal"/>
        <w:spacing w:lineRule="auto" w:line="240" w:before="0" w:after="0"/>
        <w:rPr>
          <w:rFonts w:ascii="Arial" w:hAnsi="Arial" w:cs="Arial"/>
        </w:rPr>
      </w:pPr>
      <w:r>
        <w:rPr>
          <w:rFonts w:cs="Arial" w:ascii="Arial" w:hAnsi="Arial"/>
        </w:rPr>
        <w:t>The ability to fully understand, assess and resolve the needs of all customers including those who present with complex situations, in a manner that respects dignity and expresses a caring &amp; professional image.</w:t>
      </w:r>
    </w:p>
    <w:p>
      <w:pPr>
        <w:pStyle w:val="Normal"/>
        <w:spacing w:lineRule="auto" w:line="240" w:before="0" w:after="0"/>
        <w:rPr>
          <w:rFonts w:ascii="Arial" w:hAnsi="Arial" w:cs="Arial"/>
          <w:color w:val="0000FF"/>
          <w:u w:val="single"/>
        </w:rPr>
      </w:pPr>
      <w:r>
        <w:rPr>
          <w:rFonts w:cs="Arial" w:ascii="Arial" w:hAnsi="Arial"/>
          <w:color w:val="0000FF"/>
          <w:u w:val="single"/>
        </w:rPr>
      </w:r>
    </w:p>
    <w:p>
      <w:pPr>
        <w:pStyle w:val="Normal"/>
        <w:keepLines/>
        <w:spacing w:lineRule="auto" w:line="240" w:before="0" w:after="0"/>
        <w:rPr>
          <w:rFonts w:ascii="Arial" w:hAnsi="Arial" w:cs="Arial"/>
          <w:b/>
          <w:b/>
        </w:rPr>
      </w:pPr>
      <w:r>
        <w:rPr>
          <w:rFonts w:cs="Arial" w:ascii="Arial" w:hAnsi="Arial"/>
          <w:b/>
        </w:rPr>
        <w:t>Health &amp; Safety</w:t>
      </w:r>
    </w:p>
    <w:p>
      <w:pPr>
        <w:pStyle w:val="Normal"/>
        <w:spacing w:lineRule="auto" w:line="240" w:before="0" w:after="0"/>
        <w:rPr>
          <w:rFonts w:ascii="Arial" w:hAnsi="Arial" w:cs="Arial"/>
        </w:rPr>
      </w:pPr>
      <w:r>
        <w:rPr>
          <w:rFonts w:cs="Arial" w:ascii="Arial" w:hAnsi="Arial"/>
        </w:rPr>
        <w:t>Take responsibility for the health and safety of yourself and others who may be affected by your acts or omissions, and comply with all health and safety legislation, policy and safe working practice, including participating in training activities necessary to your post.</w:t>
      </w:r>
    </w:p>
    <w:p>
      <w:pPr>
        <w:pStyle w:val="Normal"/>
        <w:keepLines/>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b/>
          <w:b/>
          <w:bCs/>
        </w:rPr>
      </w:pPr>
      <w:r>
        <w:rPr>
          <w:rFonts w:cs="Arial" w:ascii="Arial" w:hAnsi="Arial"/>
          <w:b/>
          <w:bCs/>
        </w:rPr>
        <w:t>Data Protection and Confidentiality</w:t>
      </w:r>
    </w:p>
    <w:p>
      <w:pPr>
        <w:pStyle w:val="Normal"/>
        <w:spacing w:lineRule="auto" w:line="240" w:before="0" w:after="0"/>
        <w:rPr/>
      </w:pPr>
      <w:r>
        <w:rPr>
          <w:rFonts w:cs="Arial" w:ascii="Arial" w:hAnsi="Arial"/>
        </w:rPr>
        <w:t>Ensure</w:t>
      </w:r>
      <w:r>
        <w:rPr>
          <w:rFonts w:cs="Arial" w:ascii="Arial" w:hAnsi="Arial"/>
          <w:lang w:val="en-US"/>
        </w:rPr>
        <w:t xml:space="preserve"> that any personal data or confidential data you hold is kept securely and is not disclosed, whether electronically, verbally or in writing, to any unauthorised third party. Follow Council policies and procedures on dealing with personal information and information assets, including The Code of Conduct, Data Protection, Acceptable Use and Information Security policies. Personal or confidential data should only be accessed or used for council purposes.</w:t>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b/>
          <w:b/>
          <w:lang w:val="en-US"/>
        </w:rPr>
      </w:pPr>
      <w:r>
        <w:rPr>
          <w:rFonts w:cs="Arial" w:ascii="Arial" w:hAnsi="Arial"/>
          <w:b/>
          <w:lang w:val="en-US"/>
        </w:rPr>
        <w:t>Fluency Duty</w:t>
      </w:r>
    </w:p>
    <w:p>
      <w:pPr>
        <w:pStyle w:val="Normal"/>
        <w:spacing w:lineRule="auto" w:line="240" w:before="0" w:after="0"/>
        <w:rPr/>
      </w:pPr>
      <w:r>
        <w:rPr>
          <w:rFonts w:cs="Arial" w:ascii="Arial" w:hAnsi="Arial"/>
        </w:rPr>
        <w:t>Should you be required, as a regular and intrinsic part of your role, to speak to members of the public in English, you must be able to converse at ease with customers and provide advice in accurate spoken English, as required by</w:t>
      </w:r>
      <w:r>
        <w:rPr>
          <w:rFonts w:cs="Arial" w:ascii="Arial" w:hAnsi="Arial"/>
          <w:i/>
        </w:rPr>
        <w:t xml:space="preserve"> </w:t>
      </w:r>
      <w:r>
        <w:rPr>
          <w:rFonts w:cs="Arial" w:ascii="Arial" w:hAnsi="Arial"/>
        </w:rPr>
        <w:t>The Immigration Act 2016.</w:t>
      </w:r>
    </w:p>
    <w:p>
      <w:pPr>
        <w:pStyle w:val="Normal"/>
        <w:spacing w:lineRule="auto" w:line="240" w:before="0" w:after="0"/>
        <w:rPr>
          <w:rFonts w:ascii="Arial" w:hAnsi="Arial" w:cs="Arial"/>
          <w:lang w:val="en-US"/>
        </w:rPr>
      </w:pPr>
      <w:r>
        <w:rPr>
          <w:rFonts w:cs="Arial" w:ascii="Arial" w:hAnsi="Arial"/>
          <w:lang w:val="en-US"/>
        </w:rPr>
      </w:r>
    </w:p>
    <w:p>
      <w:pPr>
        <w:pStyle w:val="Normal"/>
        <w:spacing w:lineRule="auto" w:line="240" w:before="0" w:after="0"/>
        <w:rPr>
          <w:rFonts w:ascii="Arial" w:hAnsi="Arial" w:cs="Arial"/>
          <w:b/>
          <w:b/>
        </w:rPr>
      </w:pPr>
      <w:r>
        <w:rPr>
          <w:rFonts w:cs="Arial" w:ascii="Arial" w:hAnsi="Arial"/>
          <w:b/>
        </w:rPr>
        <w:t>Working Hours</w:t>
      </w:r>
    </w:p>
    <w:p>
      <w:pPr>
        <w:pStyle w:val="Normal"/>
        <w:spacing w:lineRule="auto" w:line="240" w:before="0" w:after="0"/>
        <w:rPr>
          <w:rFonts w:ascii="Arial" w:hAnsi="Arial" w:cs="Arial"/>
        </w:rPr>
      </w:pPr>
      <w:r>
        <w:rPr>
          <w:rFonts w:cs="Arial" w:ascii="Arial" w:hAnsi="Arial"/>
        </w:rPr>
        <w:t>The nature and demands of the role are not always predictable and there will be an expectation that work will be required outside of normal hours from time to time.</w:t>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b/>
          <w:b/>
          <w:bCs/>
          <w:iCs/>
        </w:rPr>
      </w:pPr>
      <w:r>
        <w:rPr>
          <w:rFonts w:cs="Arial" w:ascii="Arial" w:hAnsi="Arial"/>
          <w:b/>
          <w:bCs/>
          <w:iCs/>
        </w:rPr>
        <w:t>Safeguarding</w:t>
      </w:r>
    </w:p>
    <w:p>
      <w:pPr>
        <w:pStyle w:val="Normal"/>
        <w:rPr>
          <w:rFonts w:ascii="Arial" w:hAnsi="Arial" w:cs="Arial"/>
          <w:bCs/>
          <w:iCs/>
        </w:rPr>
      </w:pPr>
      <w:r>
        <w:rPr>
          <w:rFonts w:cs="Arial" w:ascii="Arial" w:hAnsi="Arial"/>
          <w:bCs/>
          <w:iCs/>
        </w:rPr>
        <w:t>This Council is committed to safeguarding and promoting the welfare of children, young people and vulnerable adults and expects all staff and volunteers to share this commitment.  Should the role involve working with the above groups, you will be subject to an Enhanced Disclosure and Barred List check by the Disclosure &amp; Barring Service.</w:t>
      </w:r>
    </w:p>
    <w:p>
      <w:pPr>
        <w:pStyle w:val="Normal"/>
        <w:rPr>
          <w:rFonts w:ascii="Arial" w:hAnsi="Arial" w:cs="Arial"/>
          <w:b/>
          <w:b/>
          <w:bCs/>
          <w:color w:val="10191C"/>
          <w:highlight w:val="white"/>
        </w:rPr>
      </w:pPr>
      <w:r>
        <w:rPr>
          <w:rFonts w:cs="Arial" w:ascii="Arial" w:hAnsi="Arial"/>
          <w:b/>
          <w:bCs/>
          <w:color w:val="10191C"/>
          <w:shd w:fill="FFFFFF" w:val="clear"/>
        </w:rPr>
      </w:r>
    </w:p>
    <w:p>
      <w:pPr>
        <w:pStyle w:val="Normal"/>
        <w:rPr>
          <w:rFonts w:ascii="Arial" w:hAnsi="Arial" w:cs="Arial"/>
          <w:b/>
          <w:b/>
          <w:bCs/>
          <w:color w:val="10191C"/>
          <w:highlight w:val="white"/>
        </w:rPr>
      </w:pPr>
      <w:r>
        <w:rPr>
          <w:rFonts w:cs="Arial" w:ascii="Arial" w:hAnsi="Arial"/>
          <w:b/>
          <w:bCs/>
          <w:color w:val="10191C"/>
          <w:shd w:fill="FFFFFF" w:val="clear"/>
        </w:rPr>
      </w:r>
    </w:p>
    <w:p>
      <w:pPr>
        <w:pStyle w:val="Normal"/>
        <w:rPr>
          <w:rFonts w:ascii="Arial" w:hAnsi="Arial" w:cs="Arial"/>
          <w:b/>
          <w:b/>
          <w:bCs/>
          <w:color w:val="10191C"/>
          <w:highlight w:val="white"/>
        </w:rPr>
      </w:pPr>
      <w:r>
        <w:rPr>
          <w:rFonts w:cs="Arial" w:ascii="Arial" w:hAnsi="Arial"/>
          <w:b/>
          <w:bCs/>
          <w:color w:val="10191C"/>
          <w:shd w:fill="FFFFFF" w:val="clear"/>
        </w:rPr>
      </w:r>
    </w:p>
    <w:p>
      <w:pPr>
        <w:pStyle w:val="Normal"/>
        <w:rPr>
          <w:rFonts w:ascii="Arial" w:hAnsi="Arial" w:cs="Arial"/>
          <w:b/>
          <w:b/>
          <w:bCs/>
          <w:color w:val="10191C"/>
          <w:highlight w:val="white"/>
        </w:rPr>
      </w:pPr>
      <w:r>
        <w:rPr>
          <w:rFonts w:cs="Arial" w:ascii="Arial" w:hAnsi="Arial"/>
          <w:b/>
          <w:bCs/>
          <w:color w:val="10191C"/>
          <w:shd w:fill="FFFFFF" w:val="clear"/>
        </w:rPr>
      </w:r>
    </w:p>
    <w:p>
      <w:pPr>
        <w:pStyle w:val="Normal"/>
        <w:rPr>
          <w:rFonts w:ascii="Arial" w:hAnsi="Arial" w:cs="Arial"/>
          <w:b/>
          <w:b/>
          <w:bCs/>
          <w:color w:val="10191C"/>
          <w:highlight w:val="white"/>
        </w:rPr>
      </w:pPr>
      <w:r>
        <w:rPr>
          <w:rFonts w:cs="Arial" w:ascii="Arial" w:hAnsi="Arial"/>
          <w:b/>
          <w:bCs/>
          <w:color w:val="10191C"/>
          <w:shd w:fill="FFFFFF" w:val="clear"/>
        </w:rPr>
      </w:r>
    </w:p>
    <w:p>
      <w:pPr>
        <w:pStyle w:val="Normal"/>
        <w:rPr>
          <w:rFonts w:ascii="Arial" w:hAnsi="Arial" w:cs="Arial"/>
          <w:b/>
          <w:b/>
          <w:bCs/>
          <w:color w:val="10191C"/>
          <w:highlight w:val="white"/>
        </w:rPr>
      </w:pPr>
      <w:r>
        <w:rPr>
          <w:rFonts w:cs="Arial" w:ascii="Arial" w:hAnsi="Arial"/>
          <w:b/>
          <w:bCs/>
          <w:color w:val="10191C"/>
          <w:shd w:fill="FFFFFF" w:val="clear"/>
        </w:rPr>
      </w:r>
    </w:p>
    <w:p>
      <w:pPr>
        <w:pStyle w:val="Normal"/>
        <w:rPr>
          <w:rFonts w:ascii="Arial" w:hAnsi="Arial" w:cs="Arial"/>
          <w:b/>
          <w:b/>
          <w:bCs/>
          <w:color w:val="10191C"/>
          <w:highlight w:val="white"/>
        </w:rPr>
      </w:pPr>
      <w:r>
        <w:rPr>
          <w:rFonts w:cs="Arial" w:ascii="Arial" w:hAnsi="Arial"/>
          <w:b/>
          <w:bCs/>
          <w:color w:val="10191C"/>
          <w:shd w:fill="FFFFFF" w:val="clear"/>
        </w:rPr>
      </w:r>
    </w:p>
    <w:p>
      <w:pPr>
        <w:pStyle w:val="Normal"/>
        <w:rPr/>
      </w:pPr>
      <w:r>
        <w:rPr>
          <w:rFonts w:cs="Arial" w:ascii="Arial" w:hAnsi="Arial"/>
          <w:b/>
          <w:bCs/>
          <w:color w:val="10191C"/>
          <w:shd w:fill="FFFFFF" w:val="clear"/>
        </w:rPr>
        <w:t>The values of an organisation are those key principles by which people are expected to work to day to day. They’re our culture and help define what is expected of each and every one of us</w:t>
      </w:r>
      <w:r>
        <w:rPr>
          <w:rFonts w:cs="Arial" w:ascii="Arial" w:hAnsi="Arial"/>
          <w:color w:val="10191C"/>
          <w:shd w:fill="FFFFFF" w:val="clear"/>
        </w:rPr>
        <w:t>.</w:t>
      </w:r>
    </w:p>
    <w:p>
      <w:pPr>
        <w:pStyle w:val="Normal"/>
        <w:rPr/>
      </w:pPr>
      <w:r>
        <w:rPr/>
        <w:drawing>
          <wp:inline distT="0" distB="0" distL="0" distR="0">
            <wp:extent cx="4911090" cy="1305560"/>
            <wp:effectExtent l="0" t="0" r="0" b="0"/>
            <wp:docPr id="2"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pic:cNvPicPr>
                      <a:picLocks noChangeAspect="1" noChangeArrowheads="1"/>
                    </pic:cNvPicPr>
                  </pic:nvPicPr>
                  <pic:blipFill>
                    <a:blip r:embed="rId3"/>
                    <a:srcRect l="-4" t="-14" r="-4" b="-14"/>
                    <a:stretch>
                      <a:fillRect/>
                    </a:stretch>
                  </pic:blipFill>
                  <pic:spPr bwMode="auto">
                    <a:xfrm>
                      <a:off x="0" y="0"/>
                      <a:ext cx="4911090" cy="1305560"/>
                    </a:xfrm>
                    <a:prstGeom prst="rect">
                      <a:avLst/>
                    </a:prstGeom>
                  </pic:spPr>
                </pic:pic>
              </a:graphicData>
            </a:graphic>
          </wp:inline>
        </w:drawing>
      </w:r>
    </w:p>
    <w:p>
      <w:pPr>
        <w:pStyle w:val="Normal"/>
        <w:rPr/>
      </w:pPr>
      <w:r>
        <w:rPr/>
        <w:drawing>
          <wp:inline distT="0" distB="0" distL="0" distR="0">
            <wp:extent cx="4863465" cy="1339850"/>
            <wp:effectExtent l="0" t="0" r="0" b="0"/>
            <wp:docPr id="3"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3" descr=""/>
                    <pic:cNvPicPr>
                      <a:picLocks noChangeAspect="1" noChangeArrowheads="1"/>
                    </pic:cNvPicPr>
                  </pic:nvPicPr>
                  <pic:blipFill>
                    <a:blip r:embed="rId4"/>
                    <a:srcRect l="-4" t="-13" r="-4" b="-13"/>
                    <a:stretch>
                      <a:fillRect/>
                    </a:stretch>
                  </pic:blipFill>
                  <pic:spPr bwMode="auto">
                    <a:xfrm>
                      <a:off x="0" y="0"/>
                      <a:ext cx="4863465" cy="1339850"/>
                    </a:xfrm>
                    <a:prstGeom prst="rect">
                      <a:avLst/>
                    </a:prstGeom>
                  </pic:spPr>
                </pic:pic>
              </a:graphicData>
            </a:graphic>
          </wp:inline>
        </w:drawing>
      </w:r>
      <w:r>
        <w:rPr/>
        <w:drawing>
          <wp:inline distT="0" distB="0" distL="0" distR="0">
            <wp:extent cx="4820920" cy="1193800"/>
            <wp:effectExtent l="0" t="0" r="0" b="0"/>
            <wp:docPr id="4" name="Image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4" descr=""/>
                    <pic:cNvPicPr>
                      <a:picLocks noChangeAspect="1" noChangeArrowheads="1"/>
                    </pic:cNvPicPr>
                  </pic:nvPicPr>
                  <pic:blipFill>
                    <a:blip r:embed="rId5"/>
                    <a:srcRect l="-4" t="-15" r="-4" b="-15"/>
                    <a:stretch>
                      <a:fillRect/>
                    </a:stretch>
                  </pic:blipFill>
                  <pic:spPr bwMode="auto">
                    <a:xfrm>
                      <a:off x="0" y="0"/>
                      <a:ext cx="4820920" cy="1193800"/>
                    </a:xfrm>
                    <a:prstGeom prst="rect">
                      <a:avLst/>
                    </a:prstGeom>
                  </pic:spPr>
                </pic:pic>
              </a:graphicData>
            </a:graphic>
          </wp:inline>
        </w:drawing>
      </w:r>
      <w:r>
        <w:rPr/>
        <w:drawing>
          <wp:inline distT="0" distB="0" distL="0" distR="0">
            <wp:extent cx="4975860" cy="1219835"/>
            <wp:effectExtent l="0" t="0" r="0" b="0"/>
            <wp:docPr id="5" name="Image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5" descr=""/>
                    <pic:cNvPicPr>
                      <a:picLocks noChangeAspect="1" noChangeArrowheads="1"/>
                    </pic:cNvPicPr>
                  </pic:nvPicPr>
                  <pic:blipFill>
                    <a:blip r:embed="rId6"/>
                    <a:srcRect l="-4" t="-15" r="-4" b="-15"/>
                    <a:stretch>
                      <a:fillRect/>
                    </a:stretch>
                  </pic:blipFill>
                  <pic:spPr bwMode="auto">
                    <a:xfrm>
                      <a:off x="0" y="0"/>
                      <a:ext cx="4975860" cy="1219835"/>
                    </a:xfrm>
                    <a:prstGeom prst="rect">
                      <a:avLst/>
                    </a:prstGeom>
                  </pic:spPr>
                </pic:pic>
              </a:graphicData>
            </a:graphic>
          </wp:inline>
        </w:drawing>
      </w:r>
    </w:p>
    <w:p>
      <w:pPr>
        <w:pStyle w:val="Normal"/>
        <w:rPr/>
      </w:pPr>
      <w:r>
        <w:rPr/>
        <w:drawing>
          <wp:inline distT="0" distB="0" distL="0" distR="0">
            <wp:extent cx="5012690" cy="1232535"/>
            <wp:effectExtent l="0" t="0" r="0" b="0"/>
            <wp:docPr id="6" name="Image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6" descr=""/>
                    <pic:cNvPicPr>
                      <a:picLocks noChangeAspect="1" noChangeArrowheads="1"/>
                    </pic:cNvPicPr>
                  </pic:nvPicPr>
                  <pic:blipFill>
                    <a:blip r:embed="rId7"/>
                    <a:srcRect l="-6" t="-19" r="-6" b="-19"/>
                    <a:stretch>
                      <a:fillRect/>
                    </a:stretch>
                  </pic:blipFill>
                  <pic:spPr bwMode="auto">
                    <a:xfrm>
                      <a:off x="0" y="0"/>
                      <a:ext cx="5012690" cy="1232535"/>
                    </a:xfrm>
                    <a:prstGeom prst="rect">
                      <a:avLst/>
                    </a:prstGeom>
                  </pic:spPr>
                </pic:pic>
              </a:graphicData>
            </a:graphic>
          </wp:inline>
        </w:drawing>
      </w:r>
    </w:p>
    <w:p>
      <w:pPr>
        <w:pStyle w:val="Normal"/>
        <w:widowControl/>
        <w:bidi w:val="0"/>
        <w:spacing w:lineRule="auto" w:line="276" w:before="0" w:after="200"/>
        <w:jc w:val="left"/>
        <w:rPr/>
      </w:pPr>
      <w:r>
        <w:rPr/>
      </w:r>
    </w:p>
    <w:sectPr>
      <w:headerReference w:type="default" r:id="rId8"/>
      <w:footerReference w:type="default" r:id="rId9"/>
      <w:type w:val="nextPage"/>
      <w:pgSz w:w="11906" w:h="16838"/>
      <w:pgMar w:left="1134" w:right="1134" w:header="709" w:top="1361" w:footer="709" w:bottom="1134"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alibri Light">
    <w:charset w:val="00"/>
    <w:family w:val="roman"/>
    <w:pitch w:val="variable"/>
  </w:font>
  <w:font w:name="Liberation Sans">
    <w:altName w:val="Arial"/>
    <w:charset w:val="00"/>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jc w:val="center"/>
      <w:rPr>
        <w:rFonts w:ascii="Arial" w:hAnsi="Arial" w:cs="Arial"/>
        <w:sz w:val="21"/>
        <w:szCs w:val="21"/>
      </w:rPr>
    </w:pPr>
    <w:r>
      <w:rPr>
        <w:rFonts w:cs="Arial" w:ascii="Arial" w:hAnsi="Arial"/>
        <w:sz w:val="21"/>
        <w:szCs w:val="21"/>
      </w:rPr>
      <w:t xml:space="preserve">Our Values: </w:t>
    </w:r>
  </w:p>
  <w:p>
    <w:pPr>
      <w:pStyle w:val="Footer"/>
      <w:jc w:val="center"/>
      <w:rPr>
        <w:rFonts w:ascii="Arial" w:hAnsi="Arial" w:cs="Arial"/>
        <w:sz w:val="21"/>
        <w:szCs w:val="21"/>
      </w:rPr>
    </w:pPr>
    <w:r>
      <w:rPr>
        <w:rFonts w:cs="Arial" w:ascii="Arial" w:hAnsi="Arial"/>
        <w:sz w:val="21"/>
        <w:szCs w:val="21"/>
      </w:rPr>
      <w:t>Accountability, Determination, Honesty and Respect, Making a Difference, Working Together</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t>April 2022</w:t>
    </w:r>
  </w:p>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pStyle w:val="Heading2"/>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decimal"/>
      <w:lvlText w:val="%1"/>
      <w:lvlJc w:val="left"/>
      <w:pPr>
        <w:ind w:left="720" w:hanging="360"/>
      </w:pPr>
      <w:rPr>
        <w:b/>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bering>
</file>

<file path=word/settings.xml><?xml version="1.0" encoding="utf-8"?>
<w:settings xmlns:w="http://schemas.openxmlformats.org/wordprocessingml/2006/main">
  <w:zoom w:percent="110"/>
  <w:displayBackgroundShape/>
  <w:defaultTabStop w:val="720"/>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pPrDefault>
  </w:docDefaults>
  <w:style w:type="paragraph" w:styleId="Normal">
    <w:name w:val="Normal"/>
    <w:qFormat/>
    <w:pPr>
      <w:widowControl/>
      <w:suppressAutoHyphens w:val="true"/>
      <w:bidi w:val="0"/>
      <w:spacing w:lineRule="auto" w:line="276" w:before="0" w:after="200"/>
      <w:jc w:val="left"/>
    </w:pPr>
    <w:rPr>
      <w:rFonts w:ascii="Calibri" w:hAnsi="Calibri" w:eastAsia="Calibri" w:cs=""/>
      <w:color w:val="auto"/>
      <w:kern w:val="0"/>
      <w:sz w:val="22"/>
      <w:szCs w:val="22"/>
      <w:lang w:val="en-GB" w:eastAsia="en-US" w:bidi="ar-SA"/>
    </w:rPr>
  </w:style>
  <w:style w:type="paragraph" w:styleId="Heading1">
    <w:name w:val="Heading 1"/>
    <w:basedOn w:val="Normal"/>
    <w:next w:val="Normal"/>
    <w:qFormat/>
    <w:pPr>
      <w:keepNext w:val="true"/>
      <w:keepLines/>
      <w:numPr>
        <w:ilvl w:val="0"/>
        <w:numId w:val="1"/>
      </w:numPr>
      <w:spacing w:before="240" w:after="0"/>
      <w:outlineLvl w:val="0"/>
    </w:pPr>
    <w:rPr>
      <w:rFonts w:ascii="Calibri Light" w:hAnsi="Calibri Light" w:eastAsia="" w:cs=""/>
      <w:color w:val="2F5496"/>
      <w:sz w:val="32"/>
      <w:szCs w:val="32"/>
    </w:rPr>
  </w:style>
  <w:style w:type="paragraph" w:styleId="Heading2">
    <w:name w:val="Heading 2"/>
    <w:basedOn w:val="Normal"/>
    <w:next w:val="Normal"/>
    <w:qFormat/>
    <w:pPr>
      <w:keepNext w:val="true"/>
      <w:keepLines/>
      <w:numPr>
        <w:ilvl w:val="1"/>
        <w:numId w:val="1"/>
      </w:numPr>
      <w:spacing w:before="40" w:after="0"/>
      <w:outlineLvl w:val="1"/>
    </w:pPr>
    <w:rPr>
      <w:rFonts w:ascii="Calibri Light" w:hAnsi="Calibri Light" w:eastAsia="" w:cs=""/>
      <w:color w:val="2F5496"/>
      <w:sz w:val="26"/>
      <w:szCs w:val="26"/>
    </w:rPr>
  </w:style>
  <w:style w:type="character" w:styleId="WW8Num1z0">
    <w:name w:val="WW8Num1z0"/>
    <w:qFormat/>
    <w:rPr>
      <w:b/>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WW8Num2z0">
    <w:name w:val="WW8Num2z0"/>
    <w:qFormat/>
    <w:rPr/>
  </w:style>
  <w:style w:type="character" w:styleId="WW8Num2z1">
    <w:name w:val="WW8Num2z1"/>
    <w:qFormat/>
    <w:rPr/>
  </w:style>
  <w:style w:type="character" w:styleId="WW8Num2z2">
    <w:name w:val="WW8Num2z2"/>
    <w:qFormat/>
    <w:rPr/>
  </w:style>
  <w:style w:type="character" w:styleId="WW8Num2z3">
    <w:name w:val="WW8Num2z3"/>
    <w:qFormat/>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DefaultParagraphFont">
    <w:name w:val="Default Paragraph Font"/>
    <w:qFormat/>
    <w:rPr/>
  </w:style>
  <w:style w:type="character" w:styleId="HeaderChar">
    <w:name w:val="Header Char"/>
    <w:basedOn w:val="DefaultParagraphFont"/>
    <w:qFormat/>
    <w:rPr/>
  </w:style>
  <w:style w:type="character" w:styleId="FooterChar">
    <w:name w:val="Footer Char"/>
    <w:basedOn w:val="DefaultParagraphFont"/>
    <w:qFormat/>
    <w:rPr/>
  </w:style>
  <w:style w:type="character" w:styleId="InternetLink">
    <w:name w:val="Internet Link"/>
    <w:basedOn w:val="DefaultParagraphFont"/>
    <w:rPr>
      <w:color w:val="0000FF"/>
      <w:u w:val="single"/>
    </w:rPr>
  </w:style>
  <w:style w:type="character" w:styleId="Annotationreference">
    <w:name w:val="annotation reference"/>
    <w:basedOn w:val="DefaultParagraphFont"/>
    <w:qFormat/>
    <w:rPr>
      <w:sz w:val="16"/>
      <w:szCs w:val="16"/>
    </w:rPr>
  </w:style>
  <w:style w:type="character" w:styleId="CommentTextChar">
    <w:name w:val="Comment Text Char"/>
    <w:basedOn w:val="DefaultParagraphFont"/>
    <w:qFormat/>
    <w:rPr>
      <w:sz w:val="20"/>
      <w:szCs w:val="20"/>
    </w:rPr>
  </w:style>
  <w:style w:type="character" w:styleId="CommentSubjectChar">
    <w:name w:val="Comment Subject Char"/>
    <w:basedOn w:val="CommentTextChar"/>
    <w:qFormat/>
    <w:rPr>
      <w:b/>
      <w:bCs/>
      <w:sz w:val="20"/>
      <w:szCs w:val="20"/>
    </w:rPr>
  </w:style>
  <w:style w:type="character" w:styleId="Heading1Char">
    <w:name w:val="Heading 1 Char"/>
    <w:basedOn w:val="DefaultParagraphFont"/>
    <w:qFormat/>
    <w:rPr>
      <w:rFonts w:ascii="Calibri Light" w:hAnsi="Calibri Light" w:eastAsia="" w:cs=""/>
      <w:color w:val="2F5496"/>
      <w:sz w:val="32"/>
      <w:szCs w:val="32"/>
    </w:rPr>
  </w:style>
  <w:style w:type="character" w:styleId="Heading2Char">
    <w:name w:val="Heading 2 Char"/>
    <w:basedOn w:val="DefaultParagraphFont"/>
    <w:qFormat/>
    <w:rPr>
      <w:rFonts w:ascii="Calibri Light" w:hAnsi="Calibri Light" w:eastAsia="" w:cs=""/>
      <w:color w:val="2F5496"/>
      <w:sz w:val="26"/>
      <w:szCs w:val="26"/>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ListParagraph">
    <w:name w:val="List Paragraph"/>
    <w:basedOn w:val="Normal"/>
    <w:qFormat/>
    <w:pPr>
      <w:spacing w:lineRule="auto" w:line="264" w:before="0" w:after="0"/>
      <w:ind w:left="720" w:right="0" w:hanging="0"/>
      <w:contextualSpacing/>
    </w:pPr>
    <w:rPr>
      <w:rFonts w:ascii="Arial" w:hAnsi="Arial" w:eastAsia="Times New Roman" w:cs="Times New Roman"/>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Normal"/>
    <w:pPr>
      <w:tabs>
        <w:tab w:val="clear" w:pos="720"/>
        <w:tab w:val="center" w:pos="4513" w:leader="none"/>
        <w:tab w:val="right" w:pos="9026" w:leader="none"/>
      </w:tabs>
      <w:spacing w:lineRule="auto" w:line="240" w:before="0" w:after="0"/>
    </w:pPr>
    <w:rPr/>
  </w:style>
  <w:style w:type="paragraph" w:styleId="Annotationtext">
    <w:name w:val="annotation text"/>
    <w:basedOn w:val="Normal"/>
    <w:qFormat/>
    <w:pPr>
      <w:spacing w:lineRule="auto" w:line="240"/>
    </w:pPr>
    <w:rPr>
      <w:sz w:val="20"/>
      <w:szCs w:val="20"/>
    </w:rPr>
  </w:style>
  <w:style w:type="paragraph" w:styleId="Annotationsubject">
    <w:name w:val="annotation subject"/>
    <w:basedOn w:val="Annotationtext"/>
    <w:next w:val="Annotationtext"/>
    <w:qFormat/>
    <w:pPr/>
    <w:rPr>
      <w:b/>
      <w:bCs/>
    </w:rPr>
  </w:style>
  <w:style w:type="paragraph" w:styleId="NoSpacing">
    <w:name w:val="No Spacing"/>
    <w:qFormat/>
    <w:pPr>
      <w:widowControl/>
      <w:suppressAutoHyphens w:val="true"/>
      <w:bidi w:val="0"/>
      <w:spacing w:lineRule="auto" w:line="240" w:before="0" w:after="0"/>
      <w:jc w:val="left"/>
    </w:pPr>
    <w:rPr>
      <w:rFonts w:ascii="Calibri" w:hAnsi="Calibri" w:eastAsia="Calibri" w:cs=""/>
      <w:color w:val="auto"/>
      <w:kern w:val="0"/>
      <w:sz w:val="22"/>
      <w:szCs w:val="22"/>
      <w:lang w:val="en-GB" w:eastAsia="en-US" w:bidi="ar-SA"/>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2.png"/><Relationship Id="rId4" Type="http://schemas.openxmlformats.org/officeDocument/2006/relationships/image" Target="media/image3.png"/><Relationship Id="rId5" Type="http://schemas.openxmlformats.org/officeDocument/2006/relationships/image" Target="media/image4.png"/><Relationship Id="rId6" Type="http://schemas.openxmlformats.org/officeDocument/2006/relationships/image" Target="media/image5.png"/><Relationship Id="rId7" Type="http://schemas.openxmlformats.org/officeDocument/2006/relationships/image" Target="media/image6.png"/><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numbering" Target="numbering.xml"/><Relationship Id="rId11" Type="http://schemas.openxmlformats.org/officeDocument/2006/relationships/fontTable" Target="fontTable.xml"/><Relationship Id="rId12"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15</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