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Normal"/>
        <w:rPr>
          <w:rFonts w:ascii="Arial" w:hAnsi="Arial" w:eastAsia="Arial" w:cs="Arial"/>
        </w:rPr>
      </w:pPr>
      <w:r>
        <w:rPr>
          <w:rFonts w:eastAsia="Arial" w:cs="Arial" w:ascii="Arial" w:hAnsi="Arial"/>
        </w:rPr>
        <w:t xml:space="preserve"> </w:t>
      </w:r>
    </w:p>
    <w:p>
      <w:pPr>
        <w:pStyle w:val="Heading1"/>
        <w:rPr/>
      </w:pPr>
      <w:r>
        <w:rPr>
          <w:rFonts w:cs="Arial" w:ascii="Arial" w:hAnsi="Arial"/>
          <w:b/>
          <w:bCs/>
          <w:color w:val="auto"/>
          <w:sz w:val="40"/>
          <w:szCs w:val="40"/>
        </w:rPr>
        <w:t>Job Description</w:t>
      </w:r>
      <w:r>
        <w:rPr>
          <w:rFonts w:cs="Arial" w:ascii="Arial" w:hAnsi="Arial"/>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REGULATORY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ILLEGal Trade officer - Trading standards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7 / 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effectively and efficiently carry out a range of Trading Standards duties, to maintain, improve and promote safe and healthy living, working and trading conditions throughout the Borough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Trading Standards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 direct line management or supervisory responsibility</w:t>
            </w:r>
          </w:p>
        </w:tc>
      </w:tr>
      <w:tr>
        <w:trPr>
          <w:trHeight w:val="1504"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Principal Responsibilities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numPr>
                <w:ilvl w:val="0"/>
                <w:numId w:val="3"/>
              </w:numPr>
              <w:spacing w:lineRule="auto" w:line="264" w:before="120" w:after="120"/>
              <w:rPr>
                <w:rFonts w:ascii="Arial" w:hAnsi="Arial" w:eastAsia="Times New Roman" w:cs="Arial"/>
              </w:rPr>
            </w:pPr>
            <w:r>
              <w:rPr>
                <w:rFonts w:eastAsia="Times New Roman" w:cs="Arial" w:ascii="Arial" w:hAnsi="Arial"/>
              </w:rPr>
              <w:t>Providing the required technical expertise necessary to carry out the duties of a Technical Officer.</w:t>
            </w:r>
          </w:p>
          <w:p>
            <w:pPr>
              <w:pStyle w:val="Normal"/>
              <w:numPr>
                <w:ilvl w:val="0"/>
                <w:numId w:val="3"/>
              </w:numPr>
              <w:spacing w:lineRule="auto" w:line="264" w:before="120" w:after="120"/>
              <w:rPr>
                <w:rFonts w:ascii="Arial" w:hAnsi="Arial" w:eastAsia="Times New Roman" w:cs="Arial"/>
              </w:rPr>
            </w:pPr>
            <w:r>
              <w:rPr>
                <w:rFonts w:eastAsia="Times New Roman" w:cs="Arial" w:ascii="Arial" w:hAnsi="Arial"/>
              </w:rPr>
              <w:t>Making an effective contribution to achieving the Service aims and objectives in implementing Council policies and programmes in relation to Consumer Protection and Regulatory Services.</w:t>
            </w:r>
          </w:p>
          <w:p>
            <w:pPr>
              <w:pStyle w:val="ListParagraph"/>
              <w:numPr>
                <w:ilvl w:val="0"/>
                <w:numId w:val="3"/>
              </w:numPr>
              <w:spacing w:lineRule="auto" w:line="240" w:before="0" w:after="0"/>
              <w:contextualSpacing/>
              <w:rPr>
                <w:rFonts w:cs="Arial"/>
              </w:rPr>
            </w:pPr>
            <w:r>
              <w:rPr>
                <w:rFonts w:cs="Arial"/>
              </w:rPr>
              <w:t>Providing a quality service in relevant technical aspects of the Service.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work as part of a team on specified Trading Standard’s work and related issues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provide necessary technical support to Principal Officers within the Service and to undertake specific duties allocated as detailed in work programmes.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undertake and assist in informal and formal enforcement action including the preparation of documents for legal proceedings and attendance in Court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To undertake work to support the implementation of various Bills and legislation.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prepare and present reports as required and to attend meetings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To develop expertise in the post holder’s particular area of work by undertaking essential and specialised training within specified and agreed timeframes.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provide technical advice and assistance as required to others with the aim of increasing public awareness of Consumer Protection.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undertake, as directed by Management, technical responsibilities in all aspects of the Services’ work and to undertake specific responsibilities and provide the technical support and advice required in the following aspects of trading standards work:</w:t>
            </w:r>
          </w:p>
          <w:p>
            <w:pPr>
              <w:pStyle w:val="Normal"/>
              <w:tabs>
                <w:tab w:val="left" w:pos="720" w:leader="none"/>
                <w:tab w:val="left" w:pos="3600" w:leader="none"/>
              </w:tabs>
              <w:spacing w:lineRule="auto" w:line="240" w:before="0" w:after="0"/>
              <w:rPr>
                <w:rFonts w:ascii="Arial" w:hAnsi="Arial" w:cs="Arial"/>
              </w:rPr>
            </w:pPr>
            <w:r>
              <w:rPr>
                <w:rFonts w:cs="Arial" w:ascii="Arial" w:hAnsi="Arial"/>
              </w:rPr>
              <w:t>(a)</w:t>
              <w:tab/>
              <w:t>Addressing intelligence, complaints and requests for service</w:t>
            </w:r>
          </w:p>
          <w:p>
            <w:pPr>
              <w:pStyle w:val="Normal"/>
              <w:tabs>
                <w:tab w:val="left" w:pos="720" w:leader="none"/>
                <w:tab w:val="left" w:pos="3600" w:leader="none"/>
              </w:tabs>
              <w:spacing w:lineRule="auto" w:line="240" w:before="0" w:after="0"/>
              <w:rPr>
                <w:rFonts w:ascii="Arial" w:hAnsi="Arial" w:cs="Arial"/>
              </w:rPr>
            </w:pPr>
            <w:r>
              <w:rPr>
                <w:rFonts w:cs="Arial" w:ascii="Arial" w:hAnsi="Arial"/>
              </w:rPr>
              <w:t>(b)</w:t>
              <w:tab/>
              <w:t>Enforcement</w:t>
            </w:r>
          </w:p>
          <w:p>
            <w:pPr>
              <w:pStyle w:val="Normal"/>
              <w:tabs>
                <w:tab w:val="left" w:pos="720" w:leader="none"/>
                <w:tab w:val="left" w:pos="3600" w:leader="none"/>
              </w:tabs>
              <w:spacing w:lineRule="auto" w:line="240" w:before="0" w:after="0"/>
              <w:rPr>
                <w:rFonts w:ascii="Arial" w:hAnsi="Arial" w:cs="Arial"/>
              </w:rPr>
            </w:pPr>
            <w:r>
              <w:rPr>
                <w:rFonts w:cs="Arial" w:ascii="Arial" w:hAnsi="Arial"/>
              </w:rPr>
              <w:t>(c)</w:t>
              <w:tab/>
              <w:t>Liaison with Other Agencies</w:t>
            </w:r>
          </w:p>
          <w:p>
            <w:pPr>
              <w:pStyle w:val="Normal"/>
              <w:tabs>
                <w:tab w:val="left" w:pos="720" w:leader="none"/>
                <w:tab w:val="left" w:pos="3600" w:leader="none"/>
              </w:tabs>
              <w:spacing w:lineRule="auto" w:line="240" w:before="0" w:after="0"/>
              <w:rPr>
                <w:rFonts w:ascii="Arial" w:hAnsi="Arial" w:cs="Arial"/>
              </w:rPr>
            </w:pPr>
            <w:r>
              <w:rPr>
                <w:rFonts w:cs="Arial" w:ascii="Arial" w:hAnsi="Arial"/>
              </w:rPr>
              <w:t>(d)</w:t>
              <w:tab/>
              <w:t>Home Authority/Business Links</w:t>
            </w:r>
          </w:p>
          <w:p>
            <w:pPr>
              <w:pStyle w:val="Normal"/>
              <w:tabs>
                <w:tab w:val="left" w:pos="720" w:leader="none"/>
                <w:tab w:val="left" w:pos="3600" w:leader="none"/>
              </w:tabs>
              <w:spacing w:lineRule="auto" w:line="240" w:before="0" w:after="0"/>
              <w:rPr>
                <w:rFonts w:ascii="Arial" w:hAnsi="Arial" w:cs="Arial"/>
              </w:rPr>
            </w:pPr>
            <w:r>
              <w:rPr>
                <w:rFonts w:cs="Arial" w:ascii="Arial" w:hAnsi="Arial"/>
              </w:rPr>
              <w:t>These specific areas of work/responsibilities may be altered from time to time.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undertake and carry out such other duties as may be necessary for the efficient and effective operation of the Service, displaying at all times an open minded and flexible attitude to the continually changing environment and service demands.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generally assist in all aspects of Regulatory Services work and to be available, when required, to undertake necessary out of hours work including responding to any emergency situations.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To regularly engage with your manager to update on tasks and workload to ensure the agreed direction and progress of the Service.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June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ListParagraph"/>
              <w:numPr>
                <w:ilvl w:val="0"/>
                <w:numId w:val="2"/>
              </w:numPr>
              <w:spacing w:lineRule="auto" w:line="240" w:before="0" w:after="0"/>
              <w:contextualSpacing/>
              <w:rPr>
                <w:rFonts w:cs="Arial"/>
                <w:b/>
                <w:b/>
              </w:rPr>
            </w:pPr>
            <w:r>
              <w:rPr>
                <w:rFonts w:cs="Arial"/>
                <w:b/>
              </w:rPr>
              <w:t>Bolan</w:t>
            </w:r>
          </w:p>
        </w:tc>
      </w:tr>
    </w:tbl>
    <w:p>
      <w:pPr>
        <w:pStyle w:val="Normal"/>
        <w:rPr>
          <w:rFonts w:ascii="Arial" w:hAnsi="Arial" w:cs="Arial"/>
        </w:rPr>
      </w:pPr>
      <w:r>
        <w:rPr>
          <w:rFonts w:cs="Arial" w:ascii="Arial" w:hAnsi="Arial"/>
        </w:rPr>
      </w:r>
    </w:p>
    <w:p>
      <w:pPr>
        <w:pStyle w:val="Heading2"/>
        <w:rPr>
          <w:rFonts w:ascii="Arial" w:hAnsi="Arial" w:cs="Arial"/>
          <w:b/>
          <w:b/>
          <w:bCs/>
          <w:color w:val="auto"/>
          <w:sz w:val="40"/>
          <w:szCs w:val="40"/>
        </w:rPr>
      </w:pPr>
      <w:r>
        <w:rPr>
          <w:rFonts w:cs="Arial" w:ascii="Arial" w:hAnsi="Arial"/>
          <w:b/>
          <w:bCs/>
          <w:color w:val="auto"/>
          <w:sz w:val="40"/>
          <w:szCs w:val="40"/>
        </w:rPr>
      </w:r>
    </w:p>
    <w:p>
      <w:pPr>
        <w:pStyle w:val="Normal"/>
        <w:rPr>
          <w:rFonts w:ascii="Arial" w:hAnsi="Arial" w:cs="Arial"/>
          <w:b/>
          <w:b/>
          <w:bCs/>
          <w:color w:val="auto"/>
          <w:sz w:val="40"/>
          <w:szCs w:val="40"/>
        </w:rPr>
      </w:pPr>
      <w:r>
        <w:rPr>
          <w:rFonts w:cs="Arial" w:ascii="Arial" w:hAnsi="Arial"/>
          <w:b/>
          <w:bCs/>
          <w:color w:val="auto"/>
          <w:sz w:val="40"/>
          <w:szCs w:val="4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rPr>
          <w:rFonts w:ascii="Arial" w:hAnsi="Arial" w:cs="Arial"/>
          <w:b/>
          <w:b/>
          <w:bCs/>
          <w:color w:val="auto"/>
          <w:sz w:val="40"/>
          <w:szCs w:val="40"/>
        </w:rPr>
      </w:pPr>
      <w:r>
        <w:rPr>
          <w:rFonts w:cs="Arial" w:ascii="Arial" w:hAnsi="Arial"/>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78"/>
        <w:gridCol w:w="918"/>
        <w:gridCol w:w="135"/>
        <w:gridCol w:w="4081"/>
        <w:gridCol w:w="374"/>
        <w:gridCol w:w="20"/>
        <w:gridCol w:w="3422"/>
        <w:gridCol w:w="10"/>
      </w:tblGrid>
      <w:tr>
        <w:trPr/>
        <w:tc>
          <w:tcPr>
            <w:tcW w:w="1596"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2" w:type="dxa"/>
            <w:gridSpan w:val="5"/>
            <w:tcBorders/>
            <w:shd w:fill="auto" w:val="clear"/>
          </w:tcPr>
          <w:p>
            <w:pPr>
              <w:pStyle w:val="Normal"/>
              <w:spacing w:lineRule="auto" w:line="240" w:before="60" w:after="60"/>
              <w:rPr>
                <w:rFonts w:ascii="Arial" w:hAnsi="Arial" w:cs="Arial"/>
                <w:b/>
                <w:b/>
                <w:caps/>
              </w:rPr>
            </w:pPr>
            <w:r>
              <w:rPr>
                <w:rFonts w:cs="Arial" w:ascii="Arial" w:hAnsi="Arial"/>
                <w:b/>
                <w:caps/>
              </w:rPr>
              <w:t>REGULATORY SERVICES</w:t>
            </w:r>
          </w:p>
        </w:tc>
      </w:tr>
      <w:tr>
        <w:trPr/>
        <w:tc>
          <w:tcPr>
            <w:tcW w:w="1596"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2"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ILLEGAL TRADE OFFICER</w:t>
            </w:r>
          </w:p>
        </w:tc>
      </w:tr>
      <w:tr>
        <w:trPr/>
        <w:tc>
          <w:tcPr>
            <w:tcW w:w="1596"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2"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6"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2"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8"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60" w:type="dxa"/>
            <w:gridSpan w:val="6"/>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or aptitude for understanding criminal legislation in relation to consumer protection.</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advise and make appropriate recommendations on a variety of consumer protection issues in relation to the role of an Illegal Trade Officer.</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investigate cases to a standard acceptable for legal proceedings.</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8"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28"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communicate effectively, both orally and in writing, with members of the public, traders, public bodies and external agencies.</w:t>
            </w:r>
          </w:p>
        </w:tc>
        <w:tc>
          <w:tcPr>
            <w:tcW w:w="3432"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8"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28"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evaluate, consider options and make decisions</w:t>
            </w:r>
          </w:p>
        </w:tc>
        <w:tc>
          <w:tcPr>
            <w:tcW w:w="3432"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8"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28"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Keyboard skills in order to input and retrieve data.</w:t>
            </w:r>
          </w:p>
        </w:tc>
        <w:tc>
          <w:tcPr>
            <w:tcW w:w="3432"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8"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28"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maintain, manipulate and produce statistical data and reports using computer and manual systems. Awareness of the various information sources available.</w:t>
            </w:r>
          </w:p>
        </w:tc>
        <w:tc>
          <w:tcPr>
            <w:tcW w:w="3432"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8"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28"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on own initiative, to prioritise, organise workloads and to work to deadlines according to the demands of the service.</w:t>
            </w:r>
          </w:p>
        </w:tc>
        <w:tc>
          <w:tcPr>
            <w:tcW w:w="3432"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8"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28"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32"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Recognised qualification or study which includes criminal legislation or enforcement law OR work experience in these areas.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Form/Certificates/ 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has a minimum age requirement due to the nature of the position of 21 years.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8"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1"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6" w:type="dxa"/>
            <w:gridSpan w:val="6"/>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2"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Ability to conduct interviews in accordance with the Police and Criminal Evidence Act 1984.</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ability to apply a knowledge of consumer protection legislation in order to take responsibility for investigations with a view to legal proceedings.</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form/Exercise at 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giving evidence in court.</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criminal enforcement.</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form/Certificates</w:t>
            </w:r>
          </w:p>
        </w:tc>
      </w:tr>
      <w:tr>
        <w:trPr>
          <w:cantSplit w:val="true"/>
        </w:trPr>
        <w:tc>
          <w:tcPr>
            <w:tcW w:w="67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3. </w:t>
            </w:r>
          </w:p>
        </w:tc>
        <w:tc>
          <w:tcPr>
            <w:tcW w:w="5528"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Degree in consumer protection or equivalent.</w:t>
            </w:r>
          </w:p>
        </w:tc>
        <w:tc>
          <w:tcPr>
            <w:tcW w:w="34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June 2026</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A Bolan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bCs/>
        <w:color w:val="FFFFFF"/>
        <w:sz w:val="24"/>
        <w:szCs w:val="24"/>
      </w:rPr>
    </w:pPr>
    <w:r>
      <w:rPr>
        <w:b/>
        <w:bCs/>
        <w:color w:val="FFFFFF"/>
        <w:sz w:val="24"/>
        <w:szCs w:val="24"/>
      </w:rPr>
    </w:r>
  </w:p>
  <w:p>
    <w:pPr>
      <w:pStyle w:val="Header"/>
      <w:rPr/>
    </w:pPr>
    <w:r>
      <w:rPr/>
      <w:t>April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Arial" w:hAnsi="Arial" w: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2026-06-26T10:03:00Z</dcterms:created>
  <dc:creator>Johnson, Andrew</dc:creator>
  <dc:description/>
  <dc:language>en-US</dc:language>
  <cp:lastModifiedBy>Tobin, Saskia</cp:lastModifiedBy>
  <cp:lastPrinted>1995-11-21T17:41:00Z</cp:lastPrinted>
  <dcterms:modified xsi:type="dcterms:W3CDTF">2026-06-29T11:50:00Z</dcterms:modified>
  <cp:revision>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0x0101000C557F4435680D41A0D8D94FECA0D653</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docLang">
    <vt:lpwstr>en</vt:lpwstr>
  </property>
</Properties>
</file>