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120" w:after="200"/>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4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4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spacing w:before="120" w:after="200"/>
        <w:rPr>
          <w:rFonts w:eastAsia="Arial"/>
        </w:rPr>
      </w:pPr>
      <w:r>
        <w:rPr>
          <w:rFonts w:eastAsia="Arial"/>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caps/>
              </w:rPr>
            </w:pPr>
            <w:r>
              <w:rPr>
                <w:rFonts w:cs="Arial" w:ascii="Arial" w:hAnsi="Arial"/>
                <w:b/>
                <w:bCs/>
                <w:caps/>
              </w:rPr>
              <w:t>Best Start Inclusion PractiTIoner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grade F</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color w:val="333333"/>
                <w:highlight w:val="white"/>
              </w:rPr>
            </w:pPr>
            <w:r>
              <w:rPr>
                <w:rFonts w:cs="Arial" w:ascii="Arial" w:hAnsi="Arial"/>
                <w:color w:val="333333"/>
                <w:shd w:fill="FFFFFF" w:val="clear"/>
              </w:rPr>
              <w:t>To support parents and carers, with a focus on improving and influencing the home learning environment before any gap in child development or emerging needs escalate.</w:t>
            </w:r>
          </w:p>
          <w:p>
            <w:pPr>
              <w:pStyle w:val="Normal"/>
              <w:spacing w:lineRule="auto" w:line="240" w:before="120" w:after="120"/>
              <w:rPr>
                <w:rFonts w:ascii="Arial" w:hAnsi="Arial" w:cs="Arial"/>
              </w:rPr>
            </w:pPr>
            <w:r>
              <w:rPr>
                <w:rFonts w:cs="Arial" w:ascii="Arial" w:hAnsi="Arial"/>
              </w:rPr>
              <w:t xml:space="preserve">To support identification of emerging Special Educational Needs, supporting families to access early SEND support through Best Start Family Hubs. </w:t>
            </w:r>
          </w:p>
          <w:p>
            <w:pPr>
              <w:pStyle w:val="Normal"/>
              <w:spacing w:lineRule="auto" w:line="240" w:before="120" w:after="120"/>
              <w:rPr/>
            </w:pPr>
            <w:r>
              <w:rPr>
                <w:rFonts w:cs="Arial" w:ascii="Arial" w:hAnsi="Arial"/>
              </w:rPr>
              <w:t xml:space="preserve">To </w:t>
            </w:r>
            <w:r>
              <w:rPr>
                <w:rFonts w:eastAsia="Arial" w:cs="Arial" w:ascii="Arial" w:hAnsi="Arial"/>
              </w:rPr>
              <w:t>deliver direct support and strengthen early identification and intervention without relying on diagnosis, complementing existing SEND services.</w:t>
            </w:r>
          </w:p>
          <w:p>
            <w:pPr>
              <w:pStyle w:val="Normal"/>
              <w:spacing w:lineRule="auto" w:line="240" w:before="0" w:after="0"/>
              <w:rPr>
                <w:rFonts w:ascii="Arial" w:hAnsi="Arial" w:cs="Arial"/>
                <w:color w:val="000000"/>
              </w:rPr>
            </w:pPr>
            <w:r>
              <w:rPr>
                <w:rFonts w:cs="Arial" w:ascii="Arial" w:hAnsi="Arial"/>
                <w:color w:val="000000"/>
              </w:rPr>
              <w:t>To Increase parents’ knowledge and understanding of early education places and promote free funding entitlements for 2, 3 and 4YOs; working with families who have yet to take up their child’s funding entitlement.</w:t>
            </w:r>
          </w:p>
          <w:p>
            <w:pPr>
              <w:pStyle w:val="Normal"/>
              <w:spacing w:lineRule="auto" w:line="240" w:before="120" w:after="120"/>
              <w:rPr>
                <w:rFonts w:ascii="Arial" w:hAnsi="Arial" w:cs="Arial"/>
              </w:rPr>
            </w:pPr>
            <w:r>
              <w:rPr>
                <w:rFonts w:cs="Arial" w:ascii="Arial" w:hAnsi="Arial"/>
              </w:rPr>
            </w:r>
          </w:p>
          <w:p>
            <w:pPr>
              <w:pStyle w:val="Normal"/>
              <w:spacing w:lineRule="auto" w:line="240" w:before="120" w:after="120"/>
              <w:rPr>
                <w:rFonts w:ascii="Arial" w:hAnsi="Arial" w:eastAsia="Arial" w:cs="Arial"/>
              </w:rPr>
            </w:pPr>
            <w:r>
              <w:rPr>
                <w:rFonts w:eastAsia="Arial" w:cs="Arial" w:ascii="Arial" w:hAnsi="Arial"/>
              </w:rPr>
              <w:t xml:space="preserve">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12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120" w:after="0"/>
              <w:rPr>
                <w:rFonts w:ascii="Arial" w:hAnsi="Arial" w:cs="Arial"/>
              </w:rPr>
            </w:pPr>
            <w:r>
              <w:rPr>
                <w:rFonts w:cs="Arial" w:ascii="Arial" w:hAnsi="Arial"/>
              </w:rPr>
              <w:t xml:space="preserve">Start Well Family Hub Senior Practitioner (Inclusion)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120" w:after="120"/>
              <w:rPr>
                <w:rFonts w:ascii="Arial" w:hAnsi="Arial" w:cs="Arial"/>
              </w:rPr>
            </w:pPr>
            <w:r>
              <w:rPr>
                <w:rFonts w:cs="Arial" w:ascii="Arial" w:hAnsi="Arial"/>
              </w:rPr>
              <w:t>To undertake a universal assessment for all children at 18 months old ; to improve the early identification of need around early language development, physical development and social, emotional, and behavioural wellbeing and consequent provision of support.</w:t>
            </w:r>
          </w:p>
        </w:tc>
      </w:tr>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120" w:after="120"/>
              <w:rPr>
                <w:rFonts w:ascii="Arial" w:hAnsi="Arial" w:cs="Arial"/>
              </w:rPr>
            </w:pPr>
            <w:r>
              <w:rPr>
                <w:rFonts w:cs="Arial" w:ascii="Arial" w:hAnsi="Arial"/>
              </w:rPr>
              <w:t>To work with children and families who have identified emerging needs at a preventative level, to make sustainable changes. Provide interventions, access to Inclusive groups within Best Start Family Hubs, deliver home learning support, utilise the Healthy Babies and Best Start Family Hub programme and evidence based integrated pathways.</w:t>
            </w:r>
          </w:p>
        </w:tc>
      </w:tr>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3</w:t>
            </w:r>
          </w:p>
        </w:tc>
        <w:tc>
          <w:tcPr>
            <w:tcW w:w="8829" w:type="dxa"/>
            <w:gridSpan w:val="2"/>
            <w:tcBorders/>
            <w:shd w:fill="auto" w:val="clear"/>
          </w:tcPr>
          <w:p>
            <w:pPr>
              <w:pStyle w:val="ListParagraph"/>
              <w:spacing w:lineRule="auto" w:line="276" w:before="120" w:after="120"/>
              <w:ind w:left="0" w:right="0" w:hanging="0"/>
              <w:contextualSpacing/>
              <w:rPr/>
            </w:pPr>
            <w:r>
              <w:rPr>
                <w:rFonts w:cs="Arial"/>
                <w:color w:val="333333"/>
                <w:shd w:fill="FFFFFF" w:val="clear"/>
              </w:rPr>
              <w:t>Contribute to the priority to in</w:t>
            </w:r>
            <w:r>
              <w:rPr>
                <w:rStyle w:val="S2"/>
                <w:rFonts w:cs="Arial"/>
              </w:rPr>
              <w:t>crease the take up of E</w:t>
            </w:r>
            <w:r>
              <w:rPr>
                <w:rStyle w:val="S2"/>
              </w:rPr>
              <w:t xml:space="preserve">arly Learning </w:t>
            </w:r>
            <w:r>
              <w:rPr>
                <w:rStyle w:val="S2"/>
                <w:rFonts w:cs="Arial"/>
              </w:rPr>
              <w:t>2-year-old funded places by working with families who are yet to take up their free place.</w:t>
            </w:r>
            <w:r>
              <w:rPr>
                <w:rFonts w:cs="Arial"/>
                <w:color w:val="333333"/>
                <w:shd w:fill="FFFFFF" w:val="clear"/>
              </w:rPr>
              <w:t xml:space="preserve"> </w:t>
            </w:r>
          </w:p>
        </w:tc>
      </w:tr>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120" w:after="120"/>
              <w:rPr>
                <w:rFonts w:ascii="Arial" w:hAnsi="Arial" w:cs="Arial"/>
              </w:rPr>
            </w:pPr>
            <w:r>
              <w:rPr>
                <w:rFonts w:cs="Arial" w:ascii="Arial" w:hAnsi="Arial"/>
              </w:rPr>
              <w:t xml:space="preserve">To establish and maintain relationships with parents supporting them through activities and groups delivering a variety of evidence-based parenting sessions, in line with the Healthy Babies and Best Start In Life Programme. </w:t>
            </w:r>
          </w:p>
        </w:tc>
      </w:tr>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120" w:after="120"/>
              <w:rPr/>
            </w:pPr>
            <w:r>
              <w:rPr>
                <w:rFonts w:cs="Arial" w:ascii="Arial" w:hAnsi="Arial"/>
              </w:rPr>
              <w:t>To observe, assess and provide opportunities to support children’s development</w:t>
            </w:r>
            <w:r>
              <w:rPr>
                <w:rFonts w:cs="Arial" w:ascii="Arial" w:hAnsi="Arial"/>
                <w:strike/>
              </w:rPr>
              <w:t>,</w:t>
            </w:r>
            <w:r>
              <w:rPr>
                <w:rFonts w:cs="Arial" w:ascii="Arial" w:hAnsi="Arial"/>
              </w:rPr>
              <w:t xml:space="preserve"> focusing on the principles of school readiness and EYFS; through working in partnership with families in their own home, providing them with practical and personal support to e</w:t>
            </w:r>
            <w:r>
              <w:rPr>
                <w:rFonts w:cs="Arial" w:ascii="Arial" w:hAnsi="Arial"/>
                <w:lang w:eastAsia="en-GB"/>
              </w:rPr>
              <w:t xml:space="preserve">quip and empower them to support their child’s development </w:t>
            </w:r>
            <w:r>
              <w:rPr>
                <w:rFonts w:cs="Arial" w:ascii="Arial" w:hAnsi="Arial"/>
                <w:strike/>
                <w:lang w:eastAsia="en-GB"/>
              </w:rPr>
              <w:t>at home</w:t>
            </w:r>
            <w:r>
              <w:rPr>
                <w:rFonts w:cs="Arial" w:ascii="Arial" w:hAnsi="Arial"/>
                <w:lang w:eastAsia="en-GB"/>
              </w:rPr>
              <w:t xml:space="preserve"> through solution focused interventions, and play based opportunities.</w:t>
            </w:r>
          </w:p>
        </w:tc>
      </w:tr>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120" w:after="120"/>
              <w:rPr/>
            </w:pPr>
            <w:r>
              <w:rPr>
                <w:rFonts w:eastAsia="Arial" w:cs="Arial" w:ascii="Arial" w:hAnsi="Arial"/>
              </w:rPr>
              <w:t xml:space="preserve"> </w:t>
            </w:r>
            <w:r>
              <w:rPr>
                <w:rFonts w:cs="Arial" w:ascii="Arial" w:hAnsi="Arial"/>
              </w:rPr>
              <w:t xml:space="preserve">To record visits accurately on shared systems, in line with service standards and expectations. </w:t>
            </w:r>
          </w:p>
        </w:tc>
      </w:tr>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7</w:t>
            </w:r>
          </w:p>
          <w:p>
            <w:pPr>
              <w:pStyle w:val="Normal"/>
              <w:spacing w:lineRule="auto" w:line="240" w:before="120" w:after="120"/>
              <w:rPr>
                <w:rFonts w:ascii="Arial" w:hAnsi="Arial" w:cs="Arial"/>
                <w:b/>
                <w:b/>
              </w:rPr>
            </w:pPr>
            <w:r>
              <w:rPr>
                <w:rFonts w:cs="Arial" w:ascii="Arial" w:hAnsi="Arial"/>
                <w:b/>
              </w:rPr>
            </w:r>
          </w:p>
          <w:p>
            <w:pPr>
              <w:pStyle w:val="Normal"/>
              <w:spacing w:lineRule="auto" w:line="240" w:before="120" w:after="120"/>
              <w:rPr>
                <w:rFonts w:ascii="Arial" w:hAnsi="Arial" w:cs="Arial"/>
                <w:b/>
                <w:b/>
              </w:rPr>
            </w:pPr>
            <w:r>
              <w:rPr>
                <w:rFonts w:cs="Arial" w:ascii="Arial" w:hAnsi="Arial"/>
                <w:b/>
              </w:rPr>
            </w:r>
          </w:p>
          <w:p>
            <w:pPr>
              <w:pStyle w:val="Normal"/>
              <w:spacing w:lineRule="auto" w:line="240" w:before="120" w:after="120"/>
              <w:rPr>
                <w:rFonts w:ascii="Arial" w:hAnsi="Arial" w:cs="Arial"/>
                <w:b/>
                <w:b/>
              </w:rPr>
            </w:pPr>
            <w:r>
              <w:rPr>
                <w:rFonts w:cs="Arial" w:ascii="Arial" w:hAnsi="Arial"/>
                <w:b/>
              </w:rPr>
            </w:r>
          </w:p>
          <w:p>
            <w:pPr>
              <w:pStyle w:val="Normal"/>
              <w:spacing w:lineRule="auto" w:line="240" w:before="120" w:after="12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120" w:after="120"/>
              <w:rPr>
                <w:rFonts w:ascii="Arial" w:hAnsi="Arial" w:cs="Arial"/>
              </w:rPr>
            </w:pPr>
            <w:r>
              <w:rPr>
                <w:rFonts w:cs="Arial" w:ascii="Arial" w:hAnsi="Arial"/>
              </w:rPr>
              <w:t>To communicate and work with a range of professionals and agencies ensuring a seamless service for children and families, managing, and providing information to support effective decision-making.</w:t>
            </w:r>
          </w:p>
          <w:p>
            <w:pPr>
              <w:pStyle w:val="Normal"/>
              <w:spacing w:lineRule="auto" w:line="240" w:before="120" w:after="120"/>
              <w:rPr>
                <w:rFonts w:ascii="Arial" w:hAnsi="Arial" w:cs="Arial"/>
              </w:rPr>
            </w:pPr>
            <w:r>
              <w:rPr>
                <w:rFonts w:cs="Arial" w:ascii="Arial" w:hAnsi="Arial"/>
              </w:rPr>
            </w:r>
          </w:p>
          <w:p>
            <w:pPr>
              <w:pStyle w:val="Normal"/>
              <w:spacing w:lineRule="auto" w:line="240" w:before="120" w:after="120"/>
              <w:rPr>
                <w:rFonts w:ascii="Arial" w:hAnsi="Arial" w:cs="Arial"/>
              </w:rPr>
            </w:pPr>
            <w:r>
              <w:rPr>
                <w:rFonts w:cs="Arial" w:ascii="Arial" w:hAnsi="Arial"/>
              </w:rPr>
              <w:t xml:space="preserve">To work directly with the Best Start Family Hub, SEND Outreach teachers to empower families to navigate and access appropriate services, including for complex needs, working alongside trusted VCF organisations, peer networks and local Best Start services. </w:t>
            </w:r>
          </w:p>
          <w:p>
            <w:pPr>
              <w:pStyle w:val="Normal"/>
              <w:spacing w:lineRule="auto" w:line="240" w:before="120" w:after="120"/>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120" w:after="120"/>
              <w:rPr>
                <w:rFonts w:ascii="Arial" w:hAnsi="Arial" w:cs="Arial"/>
              </w:rPr>
            </w:pPr>
            <w:r>
              <w:rPr>
                <w:rFonts w:cs="Arial" w:ascii="Arial" w:hAnsi="Arial"/>
              </w:rPr>
              <w:t>To manage the effective use and maintenance of equipment and resources. Including occasional opening and closing of buildings.</w:t>
            </w:r>
          </w:p>
        </w:tc>
      </w:tr>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120" w:after="120"/>
              <w:rPr>
                <w:rFonts w:ascii="Arial" w:hAnsi="Arial" w:cs="Arial"/>
              </w:rPr>
            </w:pPr>
            <w:r>
              <w:rPr>
                <w:rFonts w:cs="Arial" w:ascii="Arial" w:hAnsi="Arial"/>
              </w:rPr>
              <w:t xml:space="preserve">To support, mentor and supervise students and volunteers across a range of service delivery.   </w:t>
            </w:r>
          </w:p>
        </w:tc>
      </w:tr>
      <w:tr>
        <w:trPr>
          <w:trHeight w:val="506" w:hRule="atLeast"/>
        </w:trPr>
        <w:tc>
          <w:tcPr>
            <w:tcW w:w="808" w:type="dxa"/>
            <w:tcBorders/>
            <w:shd w:fill="auto" w:val="clear"/>
          </w:tcPr>
          <w:p>
            <w:pPr>
              <w:pStyle w:val="Normal"/>
              <w:spacing w:lineRule="auto" w:line="240" w:before="120" w:after="12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120" w:after="120"/>
              <w:rPr>
                <w:rFonts w:ascii="Arial" w:hAnsi="Arial" w:cs="Arial"/>
              </w:rPr>
            </w:pPr>
            <w:r>
              <w:rPr>
                <w:rFonts w:cs="Arial" w:ascii="Arial" w:hAnsi="Arial"/>
              </w:rPr>
              <w:t>Any other duties in line with the post, which may be required from time to time.</w:t>
            </w:r>
          </w:p>
        </w:tc>
      </w:tr>
      <w:tr>
        <w:trPr/>
        <w:tc>
          <w:tcPr>
            <w:tcW w:w="4572" w:type="dxa"/>
            <w:gridSpan w:val="2"/>
            <w:tcBorders/>
            <w:shd w:fill="auto" w:val="clear"/>
          </w:tcPr>
          <w:p>
            <w:pPr>
              <w:pStyle w:val="Normal"/>
              <w:spacing w:lineRule="auto" w:line="240" w:before="120" w:after="12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120" w:after="120"/>
              <w:rPr>
                <w:rFonts w:ascii="Arial" w:hAnsi="Arial" w:cs="Arial"/>
                <w:b/>
                <w:b/>
              </w:rPr>
            </w:pPr>
            <w:r>
              <w:rPr>
                <w:rFonts w:cs="Arial" w:ascii="Arial" w:hAnsi="Arial"/>
                <w:b/>
              </w:rPr>
              <w:t xml:space="preserve">May 2026 </w:t>
            </w:r>
          </w:p>
        </w:tc>
      </w:tr>
      <w:tr>
        <w:trPr/>
        <w:tc>
          <w:tcPr>
            <w:tcW w:w="4572" w:type="dxa"/>
            <w:gridSpan w:val="2"/>
            <w:tcBorders/>
            <w:shd w:fill="auto" w:val="clear"/>
          </w:tcPr>
          <w:p>
            <w:pPr>
              <w:pStyle w:val="Normal"/>
              <w:spacing w:lineRule="auto" w:line="240" w:before="120" w:after="12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120" w:after="120"/>
              <w:rPr>
                <w:rFonts w:ascii="Arial" w:hAnsi="Arial" w:cs="Arial"/>
                <w:b/>
                <w:b/>
              </w:rPr>
            </w:pPr>
            <w:r>
              <w:rPr>
                <w:rFonts w:cs="Arial" w:ascii="Arial" w:hAnsi="Arial"/>
                <w:b/>
              </w:rPr>
              <w:t>Helen Shearer</w:t>
            </w:r>
          </w:p>
        </w:tc>
      </w:tr>
    </w:tbl>
    <w:p>
      <w:pPr>
        <w:pStyle w:val="Normal"/>
        <w:rPr>
          <w:rFonts w:ascii="Arial" w:hAnsi="Arial" w:cs="Arial"/>
        </w:rPr>
      </w:pPr>
      <w:r>
        <w:rPr>
          <w:rFonts w:cs="Arial" w:ascii="Arial" w:hAnsi="Arial"/>
        </w:rPr>
      </w:r>
    </w:p>
    <w:p>
      <w:pPr>
        <w:pStyle w:val="Normal"/>
        <w:spacing w:lineRule="auto" w:line="256" w:before="0" w:after="160"/>
        <w:rPr>
          <w:rFonts w:ascii="Arial" w:hAnsi="Arial" w:cs="Arial"/>
        </w:rPr>
      </w:pPr>
      <w:r>
        <w:rPr>
          <w:rFonts w:cs="Arial" w:ascii="Arial" w:hAnsi="Arial"/>
        </w:rPr>
      </w:r>
      <w:r>
        <w:br w:type="page"/>
      </w:r>
    </w:p>
    <w:p>
      <w:pPr>
        <w:pStyle w:val="Normal"/>
        <w:rPr>
          <w:rFonts w:ascii="Arial" w:hAnsi="Arial" w:cs="Arial"/>
        </w:rPr>
      </w:pPr>
      <w:r>
        <w:rPr>
          <w:rFonts w:cs="Arial" w:ascii="Arial" w:hAnsi="Arial"/>
        </w:rPr>
        <w:drawing>
          <wp:anchor behindDoc="0" distT="0" distB="0" distL="0" distR="0" simplePos="0" locked="0" layoutInCell="1" allowOverlap="1" relativeHeight="10">
            <wp:simplePos x="0" y="0"/>
            <wp:positionH relativeFrom="column">
              <wp:posOffset>4547235</wp:posOffset>
            </wp:positionH>
            <wp:positionV relativeFrom="paragraph">
              <wp:posOffset>-360680</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r>
    </w:p>
    <w:tbl>
      <w:tblPr>
        <w:tblW w:w="10075" w:type="dxa"/>
        <w:jc w:val="left"/>
        <w:tblInd w:w="0" w:type="dxa"/>
        <w:tblCellMar>
          <w:top w:w="0" w:type="dxa"/>
          <w:left w:w="108" w:type="dxa"/>
          <w:bottom w:w="0" w:type="dxa"/>
          <w:right w:w="108" w:type="dxa"/>
        </w:tblCellMar>
      </w:tblPr>
      <w:tblGrid>
        <w:gridCol w:w="566"/>
        <w:gridCol w:w="1101"/>
        <w:gridCol w:w="5703"/>
        <w:gridCol w:w="2695"/>
        <w:gridCol w:w="10"/>
      </w:tblGrid>
      <w:tr>
        <w:trPr/>
        <w:tc>
          <w:tcPr>
            <w:tcW w:w="1667"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2"/>
            <w:tcBorders/>
            <w:shd w:fill="auto" w:val="clear"/>
          </w:tcPr>
          <w:p>
            <w:pPr>
              <w:pStyle w:val="Normal"/>
              <w:spacing w:before="60" w:after="60"/>
              <w:rPr>
                <w:rFonts w:ascii="Arial" w:hAnsi="Arial" w:cs="Arial"/>
                <w:b/>
                <w:b/>
                <w:caps/>
              </w:rPr>
            </w:pPr>
            <w:r>
              <w:rPr>
                <w:rFonts w:cs="Arial" w:ascii="Arial" w:hAnsi="Arial"/>
                <w:b/>
                <w:caps/>
              </w:rPr>
              <w:t>Children’s services</w:t>
            </w:r>
          </w:p>
        </w:tc>
      </w:tr>
      <w:tr>
        <w:trPr/>
        <w:tc>
          <w:tcPr>
            <w:tcW w:w="1667"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8" w:type="dxa"/>
            <w:gridSpan w:val="2"/>
            <w:tcBorders>
              <w:bottom w:val="single" w:sz="4" w:space="0" w:color="000000"/>
            </w:tcBorders>
            <w:shd w:fill="auto" w:val="clear"/>
          </w:tcPr>
          <w:p>
            <w:pPr>
              <w:pStyle w:val="Normal"/>
              <w:spacing w:before="60" w:after="60"/>
              <w:rPr>
                <w:rFonts w:ascii="Arial" w:hAnsi="Arial" w:cs="Arial"/>
                <w:b/>
                <w:b/>
                <w:caps/>
              </w:rPr>
            </w:pPr>
            <w:r>
              <w:rPr>
                <w:rFonts w:cs="Arial" w:ascii="Arial" w:hAnsi="Arial"/>
                <w:b/>
                <w:caps/>
              </w:rPr>
              <w:t>BEST START INCLUSION Practitioner</w:t>
            </w:r>
          </w:p>
        </w:tc>
      </w:tr>
      <w:tr>
        <w:trPr/>
        <w:tc>
          <w:tcPr>
            <w:tcW w:w="1667"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bCs/>
              </w:rPr>
            </w:pPr>
            <w:r>
              <w:rPr>
                <w:rFonts w:cs="Arial" w:ascii="Arial" w:hAnsi="Arial"/>
                <w:bCs/>
              </w:rPr>
              <w:t>Disabled candidates are guaranteed an interview if they meet the essential criteria</w:t>
            </w:r>
          </w:p>
        </w:tc>
      </w:tr>
      <w:tr>
        <w:trPr/>
        <w:tc>
          <w:tcPr>
            <w:tcW w:w="7370"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2705"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566"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499"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1.</w:t>
            </w:r>
          </w:p>
        </w:tc>
        <w:tc>
          <w:tcPr>
            <w:tcW w:w="6804" w:type="dxa"/>
            <w:gridSpan w:val="2"/>
            <w:tcBorders>
              <w:top w:val="single" w:sz="4" w:space="0" w:color="000000"/>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Ability to communicate both verbally and in writing with all service users.</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2.</w:t>
            </w:r>
          </w:p>
        </w:tc>
        <w:tc>
          <w:tcPr>
            <w:tcW w:w="6804" w:type="dxa"/>
            <w:gridSpan w:val="2"/>
            <w:tcBorders>
              <w:top w:val="single" w:sz="4" w:space="0" w:color="000000"/>
              <w:bottom w:val="single" w:sz="4" w:space="0" w:color="000000"/>
            </w:tcBorders>
            <w:shd w:fill="auto" w:val="clear"/>
          </w:tcPr>
          <w:p>
            <w:pPr>
              <w:pStyle w:val="Default"/>
              <w:spacing w:lineRule="auto" w:line="276" w:before="60" w:after="60"/>
              <w:ind w:left="0" w:right="170" w:hanging="0"/>
              <w:rPr>
                <w:sz w:val="22"/>
                <w:szCs w:val="22"/>
              </w:rPr>
            </w:pPr>
            <w:r>
              <w:rPr>
                <w:sz w:val="22"/>
                <w:szCs w:val="22"/>
              </w:rPr>
              <w:t>Have a thorough knowledge of the EYFS, child development  and SEND Code of Practice and how this relates to children’s learning and development in practice.</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3</w:t>
            </w:r>
          </w:p>
        </w:tc>
        <w:tc>
          <w:tcPr>
            <w:tcW w:w="6804" w:type="dxa"/>
            <w:gridSpan w:val="2"/>
            <w:tcBorders>
              <w:top w:val="single" w:sz="4" w:space="0" w:color="000000"/>
              <w:bottom w:val="single" w:sz="4" w:space="0" w:color="000000"/>
            </w:tcBorders>
            <w:shd w:fill="auto" w:val="clear"/>
          </w:tcPr>
          <w:p>
            <w:pPr>
              <w:pStyle w:val="Normal"/>
              <w:spacing w:before="60" w:after="60"/>
              <w:ind w:left="0" w:right="175" w:hanging="0"/>
              <w:rPr>
                <w:rFonts w:ascii="Arial" w:hAnsi="Arial" w:cs="Arial"/>
                <w:color w:val="000000"/>
              </w:rPr>
            </w:pPr>
            <w:r>
              <w:rPr>
                <w:rFonts w:cs="Arial" w:ascii="Arial" w:hAnsi="Arial"/>
                <w:color w:val="000000"/>
              </w:rPr>
              <w:t xml:space="preserve">To demonstrate determination, ‘can do attitude’ and drive to ensure families and children with SEND access the right support at the right time </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color w:val="000000"/>
              </w:rPr>
            </w:pPr>
            <w:r>
              <w:rPr>
                <w:rFonts w:cs="Arial" w:ascii="Arial" w:hAnsi="Arial"/>
                <w:color w:val="000000"/>
              </w:rPr>
              <w:t xml:space="preserve">/Interview/ Application/Task </w:t>
            </w:r>
          </w:p>
        </w:tc>
      </w:tr>
      <w:tr>
        <w:trPr>
          <w:cantSplit w:val="true"/>
        </w:trPr>
        <w:tc>
          <w:tcPr>
            <w:tcW w:w="56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4.</w:t>
            </w:r>
          </w:p>
        </w:tc>
        <w:tc>
          <w:tcPr>
            <w:tcW w:w="6804" w:type="dxa"/>
            <w:gridSpan w:val="2"/>
            <w:tcBorders>
              <w:top w:val="single" w:sz="4" w:space="0" w:color="000000"/>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 xml:space="preserve">Be able to work within the team to promote its effectiveness as well as working independently and using own initiative.  </w:t>
            </w:r>
          </w:p>
        </w:tc>
        <w:tc>
          <w:tcPr>
            <w:tcW w:w="269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Application Form</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5.</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To demonstrate an understanding of Child Protection procedures and have the ability to respond to and act upon own and other people’s suspicion/disclosure of risk of significant harm/abuse.</w:t>
            </w:r>
          </w:p>
        </w:tc>
        <w:tc>
          <w:tcPr>
            <w:tcW w:w="2695"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6.</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Ability to access and accurately update daily records and obtain, record, and analyse information.</w:t>
            </w:r>
          </w:p>
        </w:tc>
        <w:tc>
          <w:tcPr>
            <w:tcW w:w="2695" w:type="dxa"/>
            <w:tcBorders>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7</w:t>
            </w:r>
          </w:p>
        </w:tc>
        <w:tc>
          <w:tcPr>
            <w:tcW w:w="6804" w:type="dxa"/>
            <w:gridSpan w:val="2"/>
            <w:tcBorders>
              <w:bottom w:val="single" w:sz="4" w:space="0" w:color="000000"/>
            </w:tcBorders>
            <w:shd w:fill="auto" w:val="clear"/>
          </w:tcPr>
          <w:p>
            <w:pPr>
              <w:pStyle w:val="Normal"/>
              <w:spacing w:before="60" w:after="60"/>
              <w:ind w:left="0" w:right="175" w:hanging="0"/>
              <w:rPr/>
            </w:pPr>
            <w:r>
              <w:rPr>
                <w:rFonts w:cs="Arial" w:ascii="Arial" w:hAnsi="Arial"/>
              </w:rPr>
              <w:t xml:space="preserve">Ability to support and observe a </w:t>
            </w:r>
            <w:r>
              <w:rPr>
                <w:rFonts w:cs="Arial" w:ascii="Arial" w:hAnsi="Arial"/>
                <w:lang w:eastAsia="en-GB"/>
              </w:rPr>
              <w:t>child’s developmental stage</w:t>
            </w:r>
            <w:r>
              <w:rPr>
                <w:rFonts w:cs="Arial" w:ascii="Arial" w:hAnsi="Arial"/>
              </w:rPr>
              <w:t xml:space="preserve">, using positive learning strategies and encouraging parent/carer participation, </w:t>
            </w:r>
            <w:r>
              <w:rPr>
                <w:rFonts w:cs="Arial" w:ascii="Arial" w:hAnsi="Arial"/>
                <w:lang w:eastAsia="en-GB"/>
              </w:rPr>
              <w:t>and be solution focussed.</w:t>
            </w:r>
          </w:p>
        </w:tc>
        <w:tc>
          <w:tcPr>
            <w:tcW w:w="2695" w:type="dxa"/>
            <w:tcBorders>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8.</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Ability to support individuals and families with more effective home learning activities to improve their child’s development,  supporting them to participate and engage in their child’s early learning.</w:t>
            </w:r>
          </w:p>
        </w:tc>
        <w:tc>
          <w:tcPr>
            <w:tcW w:w="2695" w:type="dxa"/>
            <w:tcBorders>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9</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Ability to develop and sustain effective working relationships with parents, carers, and colleagues in partner agencies, sharing information and communicating effectively on difficult, complex, and sensitive issues.</w:t>
            </w:r>
          </w:p>
        </w:tc>
        <w:tc>
          <w:tcPr>
            <w:tcW w:w="2695" w:type="dxa"/>
            <w:tcBorders>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10.</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To be able to support and guide parents/carers to identify factors that impact on their child’s early learning including early language development, physical development and social, emotional, and behavioural wellbeing.</w:t>
            </w:r>
          </w:p>
        </w:tc>
        <w:tc>
          <w:tcPr>
            <w:tcW w:w="2695"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w:t>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11.</w:t>
            </w:r>
          </w:p>
        </w:tc>
        <w:tc>
          <w:tcPr>
            <w:tcW w:w="6804"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Ability to accept responsibility for your own work and its delivery, improve your own performance and behave in a way that encourages effective working.</w:t>
            </w:r>
          </w:p>
        </w:tc>
        <w:tc>
          <w:tcPr>
            <w:tcW w:w="2695"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w:t>
            </w:r>
          </w:p>
          <w:p>
            <w:pPr>
              <w:pStyle w:val="Normal"/>
              <w:spacing w:before="60" w:after="60"/>
              <w:rPr>
                <w:rFonts w:ascii="Arial" w:hAnsi="Arial" w:cs="Arial"/>
              </w:rPr>
            </w:pPr>
            <w:r>
              <w:rPr>
                <w:rFonts w:cs="Arial" w:ascii="Arial" w:hAnsi="Arial"/>
              </w:rPr>
            </w:r>
          </w:p>
        </w:tc>
      </w:tr>
      <w:tr>
        <w:trPr>
          <w:cantSplit w:val="true"/>
        </w:trPr>
        <w:tc>
          <w:tcPr>
            <w:tcW w:w="566" w:type="dxa"/>
            <w:tcBorders>
              <w:bottom w:val="single" w:sz="4" w:space="0" w:color="000000"/>
            </w:tcBorders>
            <w:shd w:fill="auto" w:val="clear"/>
          </w:tcPr>
          <w:p>
            <w:pPr>
              <w:pStyle w:val="Normal"/>
              <w:spacing w:before="60" w:after="60"/>
              <w:rPr>
                <w:rFonts w:ascii="Arial" w:hAnsi="Arial" w:cs="Arial"/>
              </w:rPr>
            </w:pPr>
            <w:r>
              <w:rPr>
                <w:rFonts w:cs="Arial" w:ascii="Arial" w:hAnsi="Arial"/>
              </w:rPr>
              <w:t>12.</w:t>
            </w:r>
          </w:p>
        </w:tc>
        <w:tc>
          <w:tcPr>
            <w:tcW w:w="6804" w:type="dxa"/>
            <w:gridSpan w:val="2"/>
            <w:tcBorders>
              <w:bottom w:val="single" w:sz="4" w:space="0" w:color="000000"/>
            </w:tcBorders>
            <w:shd w:fill="auto" w:val="clear"/>
          </w:tcPr>
          <w:p>
            <w:pPr>
              <w:pStyle w:val="Normal"/>
              <w:spacing w:before="60" w:after="6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2695"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w:t>
            </w:r>
          </w:p>
        </w:tc>
      </w:tr>
    </w:tbl>
    <w:p>
      <w:pPr>
        <w:pStyle w:val="Normal"/>
        <w:spacing w:before="0" w:after="0"/>
        <w:rPr>
          <w:rFonts w:ascii="Arial" w:hAnsi="Arial" w:cs="Arial"/>
        </w:rPr>
      </w:pPr>
      <w:r>
        <w:rPr>
          <w:rFonts w:cs="Arial" w:ascii="Arial" w:hAnsi="Arial"/>
        </w:rPr>
      </w:r>
    </w:p>
    <w:tbl>
      <w:tblPr>
        <w:tblW w:w="10070" w:type="dxa"/>
        <w:jc w:val="left"/>
        <w:tblInd w:w="0" w:type="dxa"/>
        <w:tblCellMar>
          <w:top w:w="0" w:type="dxa"/>
          <w:left w:w="108" w:type="dxa"/>
          <w:bottom w:w="0" w:type="dxa"/>
          <w:right w:w="108" w:type="dxa"/>
        </w:tblCellMar>
      </w:tblPr>
      <w:tblGrid>
        <w:gridCol w:w="561"/>
        <w:gridCol w:w="6804"/>
        <w:gridCol w:w="2705"/>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80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Relevant level 3 qualification e.g., NNEB, NVQ3, BTEC, Early Years, Childcare.</w:t>
            </w:r>
          </w:p>
        </w:tc>
        <w:tc>
          <w:tcPr>
            <w:tcW w:w="270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 / documentation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2.</w:t>
            </w:r>
          </w:p>
        </w:tc>
        <w:tc>
          <w:tcPr>
            <w:tcW w:w="680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Experience of working with children and families support services provided by organisations and agencies across the Borough</w:t>
            </w:r>
          </w:p>
        </w:tc>
        <w:tc>
          <w:tcPr>
            <w:tcW w:w="270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 / 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3.</w:t>
            </w:r>
          </w:p>
        </w:tc>
        <w:tc>
          <w:tcPr>
            <w:tcW w:w="680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Experience of supporting families in using services within the community and in maintaining social relationships.</w:t>
            </w:r>
          </w:p>
        </w:tc>
        <w:tc>
          <w:tcPr>
            <w:tcW w:w="270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4.</w:t>
            </w:r>
          </w:p>
        </w:tc>
        <w:tc>
          <w:tcPr>
            <w:tcW w:w="680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Experience of working in a multi-agency environment or team</w:t>
            </w:r>
          </w:p>
        </w:tc>
        <w:tc>
          <w:tcPr>
            <w:tcW w:w="270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 / 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5.</w:t>
            </w:r>
          </w:p>
        </w:tc>
        <w:tc>
          <w:tcPr>
            <w:tcW w:w="680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Working knowledge of the Best Start Family Hubs Programme and the integrated pathways and evidence-based interventions e.g. WellComm Assessment tool, ASQ; SE, IY Baby, Watch Me Play</w:t>
            </w:r>
          </w:p>
        </w:tc>
        <w:tc>
          <w:tcPr>
            <w:tcW w:w="270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Interview</w:t>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80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 xml:space="preserve">To be able to work evenings and weekends when the service requires in order offering a flexible response to children and families. This may include some weekend and duty calls. </w:t>
            </w:r>
          </w:p>
        </w:tc>
        <w:tc>
          <w:tcPr>
            <w:tcW w:w="270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 / 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2.</w:t>
            </w:r>
          </w:p>
        </w:tc>
        <w:tc>
          <w:tcPr>
            <w:tcW w:w="680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270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Application / Interview</w:t>
            </w:r>
          </w:p>
          <w:p>
            <w:pPr>
              <w:pStyle w:val="Normal"/>
              <w:spacing w:before="80" w:after="80"/>
              <w:rPr>
                <w:rFonts w:ascii="Arial" w:hAnsi="Arial" w:cs="Arial"/>
              </w:rPr>
            </w:pPr>
            <w:r>
              <w:rPr>
                <w:rFonts w:cs="Arial" w:ascii="Arial" w:hAnsi="Arial"/>
              </w:rPr>
              <w:t>Documentation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3.</w:t>
            </w:r>
          </w:p>
        </w:tc>
        <w:tc>
          <w:tcPr>
            <w:tcW w:w="6804"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This post is subject to an enhanced disclosure from the Disclosure &amp; Barring Service</w:t>
            </w:r>
          </w:p>
        </w:tc>
        <w:tc>
          <w:tcPr>
            <w:tcW w:w="270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rPr>
                <w:rFonts w:ascii="Arial" w:hAnsi="Arial" w:cs="Arial"/>
              </w:rPr>
            </w:pPr>
            <w:r>
              <w:rPr>
                <w:rFonts w:cs="Arial" w:ascii="Arial" w:hAnsi="Arial"/>
              </w:rPr>
              <w:t>Satisfactory DBS Disclosure</w:t>
            </w:r>
          </w:p>
        </w:tc>
      </w:tr>
    </w:tbl>
    <w:p>
      <w:pPr>
        <w:pStyle w:val="Normal"/>
        <w:spacing w:before="0" w:after="0"/>
        <w:rPr>
          <w:rFonts w:ascii="Arial" w:hAnsi="Arial" w:cs="Arial"/>
        </w:rPr>
      </w:pPr>
      <w:r>
        <w:rPr>
          <w:rFonts w:cs="Arial" w:ascii="Arial" w:hAnsi="Arial"/>
        </w:rPr>
      </w:r>
    </w:p>
    <w:tbl>
      <w:tblPr>
        <w:tblW w:w="10070" w:type="dxa"/>
        <w:jc w:val="left"/>
        <w:tblInd w:w="0" w:type="dxa"/>
        <w:tblCellMar>
          <w:top w:w="0" w:type="dxa"/>
          <w:left w:w="108" w:type="dxa"/>
          <w:bottom w:w="0" w:type="dxa"/>
          <w:right w:w="108" w:type="dxa"/>
        </w:tblCellMar>
      </w:tblPr>
      <w:tblGrid>
        <w:gridCol w:w="675"/>
        <w:gridCol w:w="1133"/>
        <w:gridCol w:w="5275"/>
        <w:gridCol w:w="2977"/>
        <w:gridCol w:w="10"/>
      </w:tblGrid>
      <w:tr>
        <w:trPr>
          <w:trHeight w:val="653" w:hRule="atLeast"/>
        </w:trPr>
        <w:tc>
          <w:tcPr>
            <w:tcW w:w="1808" w:type="dxa"/>
            <w:gridSpan w:val="2"/>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826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083" w:type="dxa"/>
            <w:gridSpan w:val="3"/>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2987"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10070"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408" w:type="dxa"/>
            <w:gridSpan w:val="2"/>
            <w:tcBorders>
              <w:top w:val="single" w:sz="4" w:space="0" w:color="000000"/>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c>
          <w:tcPr>
            <w:tcW w:w="2977" w:type="dxa"/>
            <w:tcBorders>
              <w:top w:val="single" w:sz="4" w:space="0" w:color="000000"/>
              <w:left w:val="single" w:sz="4" w:space="0" w:color="000000"/>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r>
      <w:tr>
        <w:trPr>
          <w:cantSplit w:val="true"/>
        </w:trPr>
        <w:tc>
          <w:tcPr>
            <w:tcW w:w="10070"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shd w:fill="auto" w:val="clear"/>
          </w:tcPr>
          <w:p>
            <w:pPr>
              <w:pStyle w:val="Normal"/>
              <w:spacing w:before="80" w:after="80"/>
              <w:rPr>
                <w:rFonts w:ascii="Arial" w:hAnsi="Arial" w:cs="Arial"/>
              </w:rPr>
            </w:pPr>
            <w:r>
              <w:rPr>
                <w:rFonts w:cs="Arial" w:ascii="Arial" w:hAnsi="Arial"/>
              </w:rPr>
              <w:t>1.</w:t>
            </w:r>
          </w:p>
        </w:tc>
        <w:tc>
          <w:tcPr>
            <w:tcW w:w="6408" w:type="dxa"/>
            <w:gridSpan w:val="2"/>
            <w:tcBorders>
              <w:top w:val="single" w:sz="4" w:space="0" w:color="000000"/>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c>
          <w:tcPr>
            <w:tcW w:w="2977" w:type="dxa"/>
            <w:tcBorders>
              <w:top w:val="single" w:sz="4" w:space="0" w:color="000000"/>
              <w:left w:val="single" w:sz="4" w:space="0" w:color="000000"/>
              <w:bottom w:val="single" w:sz="4" w:space="0" w:color="000000"/>
            </w:tcBorders>
            <w:shd w:fill="auto" w:val="clear"/>
          </w:tcPr>
          <w:p>
            <w:pPr>
              <w:pStyle w:val="Normal"/>
              <w:snapToGrid w:val="false"/>
              <w:spacing w:before="80" w:after="80"/>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9627" w:type="dxa"/>
        <w:jc w:val="left"/>
        <w:tblInd w:w="0" w:type="dxa"/>
        <w:tblCellMar>
          <w:top w:w="0" w:type="dxa"/>
          <w:left w:w="108" w:type="dxa"/>
          <w:bottom w:w="0" w:type="dxa"/>
          <w:right w:w="108" w:type="dxa"/>
        </w:tblCellMar>
      </w:tblPr>
      <w:tblGrid>
        <w:gridCol w:w="5812"/>
        <w:gridCol w:w="3815"/>
      </w:tblGrid>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May 2026</w:t>
            </w:r>
          </w:p>
        </w:tc>
      </w:tr>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Helen Shearer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r>
        <w:br w:type="page"/>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6122035" cy="162814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6120130" cy="1304290"/>
                    </a:xfrm>
                    <a:prstGeom prst="rect">
                      <a:avLst/>
                    </a:prstGeom>
                  </pic:spPr>
                </pic:pic>
              </a:graphicData>
            </a:graphic>
          </wp:inline>
        </w:drawing>
      </w:r>
    </w:p>
    <w:p>
      <w:pPr>
        <w:pStyle w:val="Normal"/>
        <w:rPr/>
      </w:pPr>
      <w:r>
        <w:rPr/>
        <w:drawing>
          <wp:inline distT="0" distB="0" distL="0" distR="0">
            <wp:extent cx="6120765" cy="1504950"/>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6120765" cy="1504950"/>
                    </a:xfrm>
                    <a:prstGeom prst="rect">
                      <a:avLst/>
                    </a:prstGeom>
                  </pic:spPr>
                </pic:pic>
              </a:graphicData>
            </a:graphic>
          </wp:inline>
        </w:drawing>
      </w:r>
    </w:p>
    <w:p>
      <w:pPr>
        <w:pStyle w:val="Normal"/>
        <w:spacing w:before="0" w:after="200"/>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settings.xml><?xml version="1.0" encoding="utf-8"?>
<w:settings xmlns:w="http://schemas.openxmlformats.org/wordprocessingml/2006/main">
  <w:zoom w:percent="142"/>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S2">
    <w:name w:val="s2"/>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Revision">
    <w:name w:val="Revision"/>
    <w:qFormat/>
    <w:pPr>
      <w:widowControl/>
      <w:suppressAutoHyphens w:val="true"/>
      <w:bidi w:val="0"/>
      <w:spacing w:lineRule="auto" w:line="240" w:before="0" w:after="0"/>
      <w:jc w:val="left"/>
    </w:pPr>
    <w:rPr>
      <w:rFonts w:ascii="Calibri" w:hAnsi="Calibri" w:eastAsia="Calibri" w:cs="Arial"/>
      <w:color w:val="auto"/>
      <w:kern w:val="0"/>
      <w:sz w:val="22"/>
      <w:szCs w:val="22"/>
      <w:lang w:val="en-GB" w:eastAsia="en-US" w:bidi="ar-SA"/>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