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CHIEF EXECUTIVE’s DEPARTMENT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lawyer / Senior lawyer – career grade children’s TEAM</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 - K</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undertake a personal workload of legal matters in accordance with the specific responsibilities below.</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provide legal advice, advocacy, and support.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mentor other officers within the team when at grade K.</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Principal Lawyer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I:  None</w:t>
            </w:r>
          </w:p>
          <w:p>
            <w:pPr>
              <w:pStyle w:val="Normal"/>
              <w:spacing w:lineRule="auto" w:line="240" w:before="0" w:after="0"/>
              <w:rPr>
                <w:rFonts w:ascii="Arial" w:hAnsi="Arial" w:cs="Arial"/>
              </w:rPr>
            </w:pPr>
            <w:r>
              <w:rPr>
                <w:rFonts w:cs="Arial" w:ascii="Arial" w:hAnsi="Arial"/>
              </w:rPr>
              <w:t xml:space="preserve">Grade J: None </w:t>
            </w:r>
          </w:p>
          <w:p>
            <w:pPr>
              <w:pStyle w:val="Normal"/>
              <w:spacing w:lineRule="auto" w:line="240" w:before="0" w:after="0"/>
              <w:rPr/>
            </w:pPr>
            <w:r>
              <w:rPr>
                <w:rFonts w:cs="Arial" w:ascii="Arial" w:hAnsi="Arial"/>
              </w:rPr>
              <w:t>Grade K:</w:t>
            </w:r>
            <w:r>
              <w:rPr>
                <w:rFonts w:cs="Arial"/>
              </w:rPr>
              <w:t xml:space="preserve"> </w:t>
            </w:r>
            <w:r>
              <w:rPr>
                <w:rFonts w:cs="Arial" w:ascii="Arial" w:hAnsi="Arial"/>
              </w:rPr>
              <w:t>Mentoring for</w:t>
            </w:r>
            <w:r>
              <w:rPr>
                <w:rFonts w:cs="Arial"/>
              </w:rPr>
              <w:t xml:space="preserve"> </w:t>
            </w:r>
            <w:r>
              <w:rPr>
                <w:rFonts w:cs="Arial" w:ascii="Arial" w:hAnsi="Arial"/>
              </w:rPr>
              <w:t>Lawyers, Principal Legal Adviser, Senior Legal Assistants/Legal Assistants as requested.</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 – Grade I</w:t>
      </w:r>
    </w:p>
    <w:tbl>
      <w:tblPr>
        <w:tblW w:w="9627" w:type="dxa"/>
        <w:jc w:val="left"/>
        <w:tblInd w:w="0" w:type="dxa"/>
        <w:tblCellMar>
          <w:top w:w="0" w:type="dxa"/>
          <w:left w:w="108" w:type="dxa"/>
          <w:bottom w:w="0" w:type="dxa"/>
          <w:right w:w="108" w:type="dxa"/>
        </w:tblCellMar>
      </w:tblPr>
      <w:tblGrid>
        <w:gridCol w:w="808"/>
        <w:gridCol w:w="8819"/>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tcBorders/>
            <w:shd w:fill="auto" w:val="clear"/>
          </w:tcPr>
          <w:p>
            <w:pPr>
              <w:pStyle w:val="Normal"/>
              <w:spacing w:lineRule="auto" w:line="240" w:before="0" w:after="0"/>
              <w:rPr>
                <w:rFonts w:ascii="Arial" w:hAnsi="Arial" w:cs="Arial"/>
              </w:rPr>
            </w:pPr>
            <w:r>
              <w:rPr>
                <w:rFonts w:cs="Arial" w:ascii="Arial" w:hAnsi="Arial"/>
              </w:rPr>
              <w:t>To undertake and manage legal work both personally and as part of a team in accordance with the strategic aims of the council.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act as advocate for the council and to be able to negotiate and draft documentation and manage a caseload with competing demands.</w:t>
            </w:r>
          </w:p>
          <w:p>
            <w:pPr>
              <w:pStyle w:val="Normal"/>
              <w:tabs>
                <w:tab w:val="left" w:pos="720" w:leader="none"/>
                <w:tab w:val="left" w:pos="3600" w:leader="none"/>
              </w:tabs>
              <w:spacing w:lineRule="auto" w:line="264" w:before="0" w:after="0"/>
              <w:rPr>
                <w:rFonts w:ascii="Arial" w:hAnsi="Arial" w:eastAsia="Times New Roman" w:cs="Arial"/>
                <w:color w:val="FF0000"/>
              </w:rPr>
            </w:pPr>
            <w:r>
              <w:rPr>
                <w:rFonts w:eastAsia="Times New Roman" w:cs="Arial" w:ascii="Arial" w:hAnsi="Arial"/>
                <w:color w:val="FF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tcBorders/>
            <w:shd w:fill="auto" w:val="clear"/>
          </w:tcPr>
          <w:p>
            <w:pPr>
              <w:pStyle w:val="Normal"/>
              <w:tabs>
                <w:tab w:val="left" w:pos="720" w:leader="none"/>
                <w:tab w:val="left" w:pos="3600" w:leader="none"/>
              </w:tabs>
              <w:spacing w:lineRule="auto" w:line="240" w:before="0" w:after="0"/>
              <w:jc w:val="both"/>
              <w:rPr>
                <w:rFonts w:ascii="Arial" w:hAnsi="Arial" w:eastAsia="Times New Roman" w:cs="Arial"/>
              </w:rPr>
            </w:pPr>
            <w:r>
              <w:rPr>
                <w:rFonts w:eastAsia="Times New Roman" w:cs="Arial" w:ascii="Arial" w:hAnsi="Arial"/>
              </w:rPr>
              <w:t>To work effectively with other officers as necessary to achieve the successful implementation of the council’s objectives.</w:t>
            </w:r>
          </w:p>
          <w:p>
            <w:pPr>
              <w:pStyle w:val="Normal"/>
              <w:tabs>
                <w:tab w:val="left" w:pos="720" w:leader="none"/>
                <w:tab w:val="left" w:pos="3600" w:leader="none"/>
              </w:tabs>
              <w:spacing w:lineRule="auto" w:line="264"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advice and effectively conduct legal matters including those relating to safeguarding of children to include private and public Children Act proceedings, adoption, forced marriages, female genital mutilation, education law and immigration.</w:t>
            </w:r>
          </w:p>
          <w:p>
            <w:pPr>
              <w:pStyle w:val="Normal"/>
              <w:tabs>
                <w:tab w:val="left" w:pos="720" w:leader="none"/>
                <w:tab w:val="left" w:pos="3600" w:leader="none"/>
              </w:tabs>
              <w:spacing w:lineRule="auto" w:line="264"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tcBorders/>
            <w:shd w:fill="auto" w:val="clear"/>
          </w:tcPr>
          <w:p>
            <w:pPr>
              <w:pStyle w:val="Normal"/>
              <w:tabs>
                <w:tab w:val="left" w:pos="720" w:leader="none"/>
                <w:tab w:val="left" w:pos="3600" w:leader="none"/>
              </w:tabs>
              <w:spacing w:lineRule="auto" w:line="264" w:before="0" w:after="0"/>
              <w:jc w:val="both"/>
              <w:rPr>
                <w:rFonts w:ascii="Arial" w:hAnsi="Arial" w:eastAsia="Times New Roman" w:cs="Arial"/>
              </w:rPr>
            </w:pPr>
            <w:r>
              <w:rPr>
                <w:rFonts w:eastAsia="Times New Roman" w:cs="Arial" w:ascii="Arial" w:hAnsi="Arial"/>
              </w:rPr>
              <w:t>To operate within the Constitution and Council strategic aims and be able to advise upon them.</w:t>
            </w:r>
          </w:p>
          <w:p>
            <w:pPr>
              <w:pStyle w:val="Normal"/>
              <w:tabs>
                <w:tab w:val="left" w:pos="720" w:leader="none"/>
                <w:tab w:val="left" w:pos="3600" w:leader="none"/>
              </w:tabs>
              <w:spacing w:lineRule="auto" w:line="264"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tcBorders/>
            <w:shd w:fill="auto" w:val="clear"/>
          </w:tcPr>
          <w:p>
            <w:pPr>
              <w:pStyle w:val="Normal"/>
              <w:tabs>
                <w:tab w:val="left" w:pos="720" w:leader="none"/>
                <w:tab w:val="left" w:pos="3600" w:leader="none"/>
              </w:tabs>
              <w:spacing w:lineRule="auto" w:line="264" w:before="0" w:after="0"/>
              <w:rPr>
                <w:rFonts w:ascii="Arial" w:hAnsi="Arial" w:cs="Arial"/>
              </w:rPr>
            </w:pPr>
            <w:r>
              <w:rPr>
                <w:rFonts w:cs="Arial" w:ascii="Arial" w:hAnsi="Arial"/>
              </w:rPr>
              <w:t>To provide advice to officers and elected members.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tcBorders/>
            <w:shd w:fill="auto" w:val="clear"/>
          </w:tcPr>
          <w:p>
            <w:pPr>
              <w:pStyle w:val="Default"/>
              <w:spacing w:lineRule="auto" w:line="240" w:before="0" w:after="0"/>
              <w:rPr/>
            </w:pPr>
            <w:r>
              <w:rPr/>
              <w:t>To develop and maintain effective partnerships, networks and joint working arrangements to ensure the most effective provision of legal services to meet the needs of the council.</w:t>
            </w:r>
          </w:p>
          <w:p>
            <w:pPr>
              <w:pStyle w:val="Default"/>
              <w:spacing w:lineRule="auto" w:line="240" w:before="0" w:after="0"/>
              <w:rPr>
                <w:sz w:val="22"/>
                <w:szCs w:val="22"/>
              </w:rPr>
            </w:pPr>
            <w:r>
              <w:rPr>
                <w:sz w:val="22"/>
                <w:szCs w:val="22"/>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tcBorders/>
            <w:shd w:fill="auto" w:val="clear"/>
          </w:tcPr>
          <w:p>
            <w:pPr>
              <w:pStyle w:val="Normal"/>
              <w:spacing w:lineRule="auto" w:line="240" w:before="0" w:after="0"/>
              <w:rPr>
                <w:rFonts w:ascii="Arial" w:hAnsi="Arial" w:cs="Arial"/>
              </w:rPr>
            </w:pPr>
            <w:r>
              <w:rPr>
                <w:rFonts w:cs="Arial" w:ascii="Arial" w:hAnsi="Arial"/>
              </w:rPr>
              <w:t>Identify and interpretate and apply the effects on service provision of new developments in the law to ensure that the Council is able to deliver timely and responsive services.</w:t>
            </w:r>
          </w:p>
          <w:p>
            <w:pPr>
              <w:pStyle w:val="Default"/>
              <w:spacing w:lineRule="auto" w:line="240" w:before="0" w:after="0"/>
              <w:rPr/>
            </w:pPr>
            <w:r>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tcBorders/>
            <w:shd w:fill="auto" w:val="clear"/>
          </w:tcPr>
          <w:p>
            <w:pPr>
              <w:pStyle w:val="Default"/>
              <w:spacing w:lineRule="auto" w:line="240" w:before="0" w:after="0"/>
              <w:rPr/>
            </w:pPr>
            <w:r>
              <w:rPr/>
              <w:t xml:space="preserve">To carry out such other work as may be required by the Principal Lawyer or Head of legal Services from time to time. </w:t>
            </w:r>
          </w:p>
          <w:p>
            <w:pPr>
              <w:pStyle w:val="Default"/>
              <w:spacing w:lineRule="auto" w:line="240" w:before="0" w:after="0"/>
              <w:rPr/>
            </w:pPr>
            <w:r>
              <w:rPr/>
            </w:r>
          </w:p>
        </w:tc>
      </w:tr>
    </w:tbl>
    <w:p>
      <w:pPr>
        <w:pStyle w:val="Normal"/>
        <w:rPr>
          <w:rFonts w:ascii="Arial" w:hAnsi="Arial" w:cs="Arial"/>
          <w:b/>
          <w:b/>
          <w:bCs/>
        </w:rPr>
      </w:pPr>
      <w:r>
        <w:rPr>
          <w:rFonts w:cs="Arial" w:ascii="Arial" w:hAnsi="Arial"/>
          <w:b/>
          <w:bCs/>
        </w:rPr>
        <w:t xml:space="preserve">Main Duties - Grade J Progression / Experience in addition to I </w:t>
      </w:r>
    </w:p>
    <w:tbl>
      <w:tblPr>
        <w:tblW w:w="9627" w:type="dxa"/>
        <w:jc w:val="left"/>
        <w:tblInd w:w="0" w:type="dxa"/>
        <w:tblCellMar>
          <w:top w:w="0" w:type="dxa"/>
          <w:left w:w="108" w:type="dxa"/>
          <w:bottom w:w="0" w:type="dxa"/>
          <w:right w:w="108" w:type="dxa"/>
        </w:tblCellMar>
      </w:tblPr>
      <w:tblGrid>
        <w:gridCol w:w="808"/>
        <w:gridCol w:w="8819"/>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tcBorders/>
            <w:shd w:fill="auto" w:val="clear"/>
          </w:tcPr>
          <w:p>
            <w:pPr>
              <w:pStyle w:val="Normal"/>
              <w:spacing w:lineRule="auto" w:line="240" w:before="0" w:after="0"/>
              <w:jc w:val="both"/>
              <w:rPr>
                <w:rFonts w:ascii="Arial" w:hAnsi="Arial" w:cs="Arial"/>
              </w:rPr>
            </w:pPr>
            <w:r>
              <w:rPr>
                <w:rFonts w:cs="Arial" w:ascii="Arial" w:hAnsi="Arial"/>
              </w:rPr>
              <w:t>To act under pressure in the face of competing demands arising from emergency and urgent situations and when undertaking a higher caseload and be prepared to undertake some more complex matters.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tcBorders/>
            <w:shd w:fill="auto" w:val="clear"/>
          </w:tcPr>
          <w:p>
            <w:pPr>
              <w:pStyle w:val="Normal"/>
              <w:spacing w:lineRule="auto" w:line="240" w:before="0" w:after="0"/>
              <w:jc w:val="both"/>
              <w:rPr>
                <w:rFonts w:ascii="Arial" w:hAnsi="Arial" w:cs="Arial"/>
              </w:rPr>
            </w:pPr>
            <w:r>
              <w:rPr>
                <w:rFonts w:cs="Arial" w:ascii="Arial" w:hAnsi="Arial"/>
              </w:rPr>
              <w:t>To assist in the co-ordination of the work relating to Social Care matters, to ensure that cases are prepared to professional standards and in compliance with relevant legislation, Regulations, Statutory Guidance, Practice Directions and the Public Law Outline and to ensure that Court commitments and deadlines are properly met.</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tcBorders/>
            <w:shd w:fill="auto" w:val="clear"/>
          </w:tcPr>
          <w:p>
            <w:pPr>
              <w:pStyle w:val="Normal"/>
              <w:spacing w:lineRule="auto" w:line="240" w:before="0" w:after="0"/>
              <w:rPr>
                <w:rFonts w:ascii="Arial" w:hAnsi="Arial" w:cs="Arial"/>
              </w:rPr>
            </w:pPr>
            <w:r>
              <w:rPr>
                <w:rFonts w:cs="Arial" w:ascii="Arial" w:hAnsi="Arial"/>
              </w:rPr>
              <w:t>To devise and deliver training to colleagues, clients and elected members as required.</w:t>
            </w:r>
          </w:p>
          <w:p>
            <w:pPr>
              <w:pStyle w:val="Normal"/>
              <w:spacing w:lineRule="auto" w:line="240" w:before="0" w:after="0"/>
              <w:ind w:left="720" w:right="0" w:hanging="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tcBorders/>
            <w:shd w:fill="auto" w:val="clear"/>
          </w:tcPr>
          <w:p>
            <w:pPr>
              <w:pStyle w:val="Normal"/>
              <w:spacing w:lineRule="auto" w:line="240" w:before="0" w:after="0"/>
              <w:rPr>
                <w:rFonts w:ascii="Arial" w:hAnsi="Arial" w:cs="Arial"/>
              </w:rPr>
            </w:pPr>
            <w:r>
              <w:rPr>
                <w:rFonts w:cs="Arial" w:ascii="Arial" w:hAnsi="Arial"/>
              </w:rPr>
              <w:t>To advise Committees, Sub-Committees, Members, Officers and any organisation with which the Council has a formal arrangement for the giving of advice.</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tcBorders/>
            <w:shd w:fill="auto" w:val="clear"/>
          </w:tcPr>
          <w:p>
            <w:pPr>
              <w:pStyle w:val="Normal"/>
              <w:spacing w:lineRule="auto" w:line="240" w:before="0" w:after="0"/>
              <w:rPr>
                <w:rFonts w:ascii="Arial" w:hAnsi="Arial" w:cs="Arial"/>
              </w:rPr>
            </w:pPr>
            <w:r>
              <w:rPr>
                <w:rFonts w:cs="Arial" w:ascii="Arial" w:hAnsi="Arial"/>
              </w:rPr>
              <w:t>To provide legal and procedural advice and support that is customer centred and gives value for money and proactively identifies ways to work more efficiently and effectively.</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19"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rFonts w:ascii="Arial" w:hAnsi="Arial" w:cs="Arial"/>
          <w:b/>
          <w:b/>
          <w:bCs/>
        </w:rPr>
      </w:pPr>
      <w:r>
        <w:rPr>
          <w:rFonts w:cs="Arial" w:ascii="Arial" w:hAnsi="Arial"/>
          <w:b/>
          <w:bCs/>
        </w:rPr>
        <w:t>Main Duties – Grade K Progression / Experience in addition to I &amp; J</w:t>
      </w:r>
    </w:p>
    <w:tbl>
      <w:tblPr>
        <w:tblW w:w="9627" w:type="dxa"/>
        <w:jc w:val="left"/>
        <w:tblInd w:w="0" w:type="dxa"/>
        <w:tblCellMar>
          <w:top w:w="0" w:type="dxa"/>
          <w:left w:w="108" w:type="dxa"/>
          <w:bottom w:w="0" w:type="dxa"/>
          <w:right w:w="108" w:type="dxa"/>
        </w:tblCellMar>
      </w:tblPr>
      <w:tblGrid>
        <w:gridCol w:w="808"/>
        <w:gridCol w:w="3759"/>
        <w:gridCol w:w="5060"/>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deputise for Principal Lawyer as necessary, for example, at Panels, safeguarding boards, AGMA groups etc.</w:t>
            </w:r>
          </w:p>
          <w:p>
            <w:pPr>
              <w:pStyle w:val="Normal"/>
              <w:spacing w:lineRule="auto" w:line="264" w:before="0" w:after="0"/>
              <w:rPr>
                <w:rFonts w:ascii="Arial" w:hAnsi="Arial" w:eastAsia="Times New Roman" w:cs="Arial"/>
              </w:rPr>
            </w:pPr>
            <w:r>
              <w:rPr>
                <w:rFonts w:eastAsia="Times New Roman"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gridSpan w:val="2"/>
            <w:tcBorders/>
            <w:shd w:fill="auto" w:val="clear"/>
          </w:tcPr>
          <w:p>
            <w:pPr>
              <w:pStyle w:val="Normal"/>
              <w:tabs>
                <w:tab w:val="left" w:pos="720" w:leader="none"/>
                <w:tab w:val="left" w:pos="3600" w:leader="none"/>
              </w:tabs>
              <w:spacing w:lineRule="auto" w:line="240" w:before="0" w:after="0"/>
              <w:jc w:val="both"/>
              <w:rPr>
                <w:rFonts w:ascii="Arial" w:hAnsi="Arial" w:eastAsia="Times New Roman" w:cs="Arial"/>
              </w:rPr>
            </w:pPr>
            <w:r>
              <w:rPr>
                <w:rFonts w:eastAsia="Times New Roman" w:cs="Arial" w:ascii="Arial" w:hAnsi="Arial"/>
              </w:rPr>
              <w:t>To work effectively with senior officers and managers to achieve the successful implementation of the council’s objectives.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advice and effectively conduct legal matters including those relating to safeguarding of children to include private and public Children Act proceedings, adoption, forced marriages, female genital mutilation, education law and immigration, Judicial reviews, human rights challenges, cases with political intent, multiple parties, litigants in person and novel points of law.</w:t>
            </w:r>
          </w:p>
          <w:p>
            <w:pPr>
              <w:pStyle w:val="Normal"/>
              <w:spacing w:lineRule="auto" w:line="264"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gridSpan w:val="2"/>
            <w:tcBorders/>
            <w:shd w:fill="auto" w:val="clear"/>
          </w:tcPr>
          <w:p>
            <w:pPr>
              <w:pStyle w:val="Normal"/>
              <w:tabs>
                <w:tab w:val="left" w:pos="720" w:leader="none"/>
                <w:tab w:val="left" w:pos="3600" w:leader="none"/>
              </w:tabs>
              <w:spacing w:lineRule="auto" w:line="264" w:before="0" w:after="0"/>
              <w:jc w:val="both"/>
              <w:rPr>
                <w:rFonts w:ascii="Arial" w:hAnsi="Arial" w:eastAsia="Times New Roman" w:cs="Arial"/>
              </w:rPr>
            </w:pPr>
            <w:r>
              <w:rPr>
                <w:rFonts w:eastAsia="Times New Roman" w:cs="Arial" w:ascii="Arial" w:hAnsi="Arial"/>
              </w:rPr>
              <w:t>To have and in-depth knowledge of the Constitution and strategic aims and be able to advise upon them.</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be prepared to conduct final hearings with an E.L.H. of up to 2 days when deemed suitable with the Principal Lawyer.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 xml:space="preserve">To manage a higher caseload of cases of cases alongside other miscellaneous matters.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sz w:val="23"/>
                <w:szCs w:val="23"/>
              </w:rPr>
            </w:pPr>
            <w:r>
              <w:rPr>
                <w:rFonts w:eastAsia="Times New Roman" w:cs="Arial" w:ascii="Arial" w:hAnsi="Arial"/>
                <w:sz w:val="23"/>
                <w:szCs w:val="23"/>
              </w:rPr>
              <w:t>To prepare reports for and attend such meetings of the Council, the Executive Committees, Sub-Committees and Working Parties as may be necessary in connection with the duties of the post.</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Identify and provide training and development for client department as requested and to assist with the mentoring of less experienced legal staff in the team.</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Provide leadership support and ensure the effective motivation and development of staff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act as a senior case holder and advocate, in providing professional legal services to the Children’s Services and the Health and Well Being Directorates in relation to legal issues relating to children and vulnerable adults.</w:t>
            </w:r>
          </w:p>
          <w:p>
            <w:pPr>
              <w:pStyle w:val="Normal"/>
              <w:spacing w:lineRule="auto" w:line="240" w:before="0" w:after="0"/>
              <w:rPr>
                <w:rFonts w:ascii="Arial" w:hAnsi="Arial" w:cs="Arial"/>
              </w:rPr>
            </w:pPr>
            <w:r>
              <w:rPr>
                <w:rFonts w:cs="Arial" w:ascii="Arial" w:hAnsi="Arial"/>
              </w:rPr>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November 2022</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Head of Legal Services</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4217"/>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4"/>
            <w:tcBorders/>
            <w:shd w:fill="auto" w:val="clear"/>
          </w:tcPr>
          <w:p>
            <w:pPr>
              <w:pStyle w:val="Normal"/>
              <w:spacing w:lineRule="auto" w:line="240" w:before="60" w:after="60"/>
              <w:rPr>
                <w:rFonts w:ascii="Arial" w:hAnsi="Arial" w:cs="Arial"/>
                <w:b/>
                <w:b/>
                <w:caps/>
              </w:rPr>
            </w:pPr>
            <w:r>
              <w:rPr>
                <w:rFonts w:cs="Arial" w:ascii="Arial" w:hAnsi="Arial"/>
                <w:b/>
                <w:caps/>
              </w:rPr>
              <w:t>chief Executive’s Department</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4"/>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lawyer / Senior lawyer – career grade children’s TEAM</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napToGrid w:val="false"/>
              <w:spacing w:lineRule="auto" w:line="240" w:before="60" w:after="60"/>
              <w:rPr>
                <w:rFonts w:ascii="Arial" w:hAnsi="Arial" w:cs="Arial"/>
                <w:b/>
                <w:b/>
              </w:rPr>
            </w:pPr>
            <w:r>
              <w:rPr>
                <w:rFonts w:cs="Arial" w:ascii="Arial" w:hAnsi="Arial"/>
                <w:b/>
              </w:rPr>
            </w:r>
          </w:p>
        </w:tc>
        <w:tc>
          <w:tcPr>
            <w:tcW w:w="898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Grade I</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local government law with a particular emphasis on children’s safeguarding to include private and public Children Act proceedings, adoption law, female genital mutilation, forced marriages, education law and immigration.</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 xml:space="preserve">Knowledge of Data protection and governance law. </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statutes, regulations, guidance, advices, case law, policies and procedures in the relevant areas.</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social work assessment frameworks and government publications such as Working together.</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 / Presentation / Assessment Centre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 xml:space="preserve">Ability to operate effectively in a sensitive political environment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efficiently with information technology in support of casework.</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Ability to organise and prioritise own work.</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effectively when faced with a workload which requires risk management.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both orally and in writing with elected members, colleagues, staff, officers in other agencies and customers, other professionals and members of the judiciary.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advocate for the local authority and is able to make persuasive arguments backed by evidence and law commensurate with grade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Form/Interview/Assessment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Carries cases that are less complex and require more supervision regarding matters than a more experienced lawyer would receive.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5"/>
            <w:tcBorders>
              <w:bottom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D9D9D9" w:val="clear"/>
          </w:tcPr>
          <w:p>
            <w:pPr>
              <w:pStyle w:val="Normal"/>
              <w:snapToGrid w:val="false"/>
              <w:spacing w:lineRule="auto" w:line="240" w:before="120" w:after="120"/>
              <w:rPr>
                <w:rFonts w:ascii="Arial" w:hAnsi="Arial" w:cs="Arial"/>
              </w:rPr>
            </w:pPr>
            <w:r>
              <w:rPr>
                <w:rFonts w:cs="Arial" w:ascii="Arial" w:hAnsi="Arial"/>
              </w:rPr>
            </w:r>
          </w:p>
        </w:tc>
        <w:tc>
          <w:tcPr>
            <w:tcW w:w="8982" w:type="dxa"/>
            <w:gridSpan w:val="6"/>
            <w:tcBorders>
              <w:bottom w:val="single" w:sz="4" w:space="0" w:color="000000"/>
            </w:tcBorders>
            <w:shd w:fill="D9D9D9" w:val="clear"/>
          </w:tcPr>
          <w:p>
            <w:pPr>
              <w:pStyle w:val="Normal"/>
              <w:spacing w:lineRule="auto" w:line="240" w:before="120" w:after="120"/>
              <w:rPr>
                <w:rFonts w:ascii="Arial" w:hAnsi="Arial" w:cs="Arial"/>
                <w:b/>
                <w:b/>
                <w:bCs/>
              </w:rPr>
            </w:pPr>
            <w:r>
              <w:rPr>
                <w:rFonts w:cs="Arial" w:ascii="Arial" w:hAnsi="Arial"/>
                <w:b/>
                <w:bCs/>
              </w:rPr>
              <w:t>Grade J</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Carries out the working practices, procedures and operations across the specialist area of social care legal work in relation to child protection, education, immigration, human rights and inquests.</w:t>
            </w:r>
          </w:p>
          <w:p>
            <w:pPr>
              <w:pStyle w:val="Normal"/>
              <w:spacing w:lineRule="auto" w:line="240" w:before="0" w:after="0"/>
              <w:jc w:val="both"/>
              <w:rPr>
                <w:rFonts w:ascii="Arial" w:hAnsi="Arial" w:cs="Arial"/>
              </w:rPr>
            </w:pPr>
            <w:r>
              <w:rPr>
                <w:rFonts w:cs="Arial" w:ascii="Arial" w:hAnsi="Arial"/>
              </w:rPr>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bottom w:val="single" w:sz="4" w:space="0" w:color="000000"/>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Understands and applies health and safety working practices, including risk in their own area of work.</w:t>
            </w:r>
          </w:p>
          <w:p>
            <w:pPr>
              <w:pStyle w:val="Normal"/>
              <w:spacing w:lineRule="auto" w:line="240" w:before="0" w:after="0"/>
              <w:jc w:val="both"/>
              <w:rPr>
                <w:rFonts w:ascii="Arial" w:hAnsi="Arial" w:cs="Arial"/>
              </w:rPr>
            </w:pPr>
            <w:r>
              <w:rPr>
                <w:rFonts w:cs="Arial" w:ascii="Arial" w:hAnsi="Arial"/>
              </w:rPr>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bottom w:val="single" w:sz="4" w:space="0" w:color="000000"/>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Uses a wide range of basic computer applications.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0" w:after="0"/>
              <w:rPr>
                <w:rFonts w:ascii="Arial" w:hAnsi="Arial" w:cs="Arial"/>
                <w:color w:val="000000"/>
              </w:rPr>
            </w:pPr>
            <w:r>
              <w:rPr>
                <w:rFonts w:cs="Arial" w:ascii="Arial" w:hAnsi="Arial"/>
                <w:color w:val="000000"/>
              </w:rPr>
              <w:t>Knows and understands how to analyse, interpret and present complex information from a variety of sources.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56" w:before="0" w:after="160"/>
              <w:rPr>
                <w:rFonts w:ascii="Arial" w:hAnsi="Arial" w:cs="Arial"/>
              </w:rPr>
            </w:pPr>
            <w:r>
              <w:rPr>
                <w:rFonts w:cs="Arial" w:ascii="Arial" w:hAnsi="Arial"/>
              </w:rPr>
              <w:t>Ability to advocate for the local authority on some more complex matters and is able to make persuasive arguments backed by evidence and law commensurate with grade.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D9D9D9" w:val="clear"/>
          </w:tcPr>
          <w:p>
            <w:pPr>
              <w:pStyle w:val="Normal"/>
              <w:snapToGrid w:val="false"/>
              <w:spacing w:lineRule="auto" w:line="240" w:before="120" w:after="120"/>
              <w:rPr>
                <w:rFonts w:ascii="Arial" w:hAnsi="Arial" w:cs="Arial"/>
              </w:rPr>
            </w:pPr>
            <w:r>
              <w:rPr>
                <w:rFonts w:cs="Arial" w:ascii="Arial" w:hAnsi="Arial"/>
              </w:rPr>
            </w:r>
          </w:p>
        </w:tc>
        <w:tc>
          <w:tcPr>
            <w:tcW w:w="8982" w:type="dxa"/>
            <w:gridSpan w:val="6"/>
            <w:tcBorders>
              <w:bottom w:val="single" w:sz="4" w:space="0" w:color="000000"/>
            </w:tcBorders>
            <w:shd w:fill="D9D9D9" w:val="clear"/>
          </w:tcPr>
          <w:p>
            <w:pPr>
              <w:pStyle w:val="Normal"/>
              <w:spacing w:lineRule="auto" w:line="240" w:before="120" w:after="120"/>
              <w:rPr>
                <w:rFonts w:ascii="Arial" w:hAnsi="Arial" w:cs="Arial"/>
                <w:b/>
                <w:b/>
                <w:bCs/>
              </w:rPr>
            </w:pPr>
            <w:r>
              <w:rPr>
                <w:rFonts w:cs="Arial" w:ascii="Arial" w:hAnsi="Arial"/>
                <w:b/>
                <w:bCs/>
              </w:rPr>
              <w:t>Grade K</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in-depth knowledge of local government law with a particular emphasis on and significant experience of complex cases and issues, judicial review, private and public Children Act proceedings, education law, complaints policies and procedures, human rights, inquests and immigration.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bottom w:val="single" w:sz="4" w:space="0" w:color="000000"/>
            </w:tcBorders>
            <w:shd w:fill="auto" w:val="clear"/>
          </w:tcPr>
          <w:p>
            <w:pPr>
              <w:pStyle w:val="Normal"/>
              <w:spacing w:lineRule="auto" w:line="240" w:before="120" w:after="120"/>
              <w:ind w:left="0" w:right="175" w:hanging="0"/>
              <w:rPr/>
            </w:pPr>
            <w:r>
              <w:rPr>
                <w:rFonts w:cs="Arial" w:ascii="Arial" w:hAnsi="Arial"/>
              </w:rPr>
              <w:t>Ability to develop other areas of legal expertise within the department as necessary</w:t>
            </w:r>
            <w:r>
              <w:rPr>
                <w:rFonts w:cs="Arial" w:ascii="Arial" w:hAnsi="Arial"/>
                <w:color w:val="FF0000"/>
              </w:rPr>
              <w: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Ability to work effectively when faced with a high volume and complex workload.</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with elected members, colleagues, staff, officers in other agencies and customers, other professionals and members of the judiciary commensurate with the grade.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provide practical legal advice. Ability to identify and bring to the attention of the Principal Lawyer, matters of probity or significance which may have a detrimental effect on the council commensurate with the grade.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deal with complex caseload and hearings including cases with Political intent, medical issues and immigration.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advocate for the local authority on more complex matters and is able to make persuasive arguments backed by evidence and law commensurate with grade.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5"/>
            <w:tcBorders>
              <w:bottom w:val="single" w:sz="4" w:space="0" w:color="000000"/>
            </w:tcBorders>
            <w:shd w:fill="auto" w:val="clear"/>
          </w:tcPr>
          <w:p>
            <w:pPr>
              <w:pStyle w:val="Normal"/>
              <w:spacing w:lineRule="auto" w:line="240" w:before="120" w:after="120"/>
              <w:ind w:left="0" w:right="175" w:hanging="0"/>
              <w:rPr/>
            </w:pPr>
            <w:r>
              <w:rPr>
                <w:rFonts w:cs="Arial" w:ascii="Arial" w:hAnsi="Arial"/>
              </w:rPr>
              <w:t xml:space="preserve">Ability to </w:t>
            </w:r>
            <w:r>
              <w:rPr>
                <w:rFonts w:eastAsia="Times New Roman" w:cs="Arial" w:ascii="Arial" w:hAnsi="Arial"/>
              </w:rPr>
              <w:t>Identify and provide training and to assist with the mentoring of others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color w:val="FF0000"/>
              </w:rPr>
            </w:pPr>
            <w:r>
              <w:rPr>
                <w:rFonts w:cs="Arial" w:ascii="Arial" w:hAnsi="Arial"/>
                <w:color w:val="FF0000"/>
              </w:rPr>
              <w:t>For Grade I</w:t>
            </w:r>
          </w:p>
          <w:p>
            <w:pPr>
              <w:pStyle w:val="Normal"/>
              <w:spacing w:lineRule="auto" w:line="240" w:before="120" w:after="120"/>
              <w:rPr>
                <w:rFonts w:ascii="Arial" w:hAnsi="Arial" w:cs="Arial"/>
                <w:color w:val="FF0000"/>
              </w:rPr>
            </w:pPr>
            <w:r>
              <w:rPr>
                <w:rFonts w:cs="Arial" w:ascii="Arial" w:hAnsi="Arial"/>
                <w:color w:val="FF0000"/>
              </w:rPr>
              <w:t xml:space="preserve">Solicitor, or </w:t>
            </w:r>
          </w:p>
          <w:p>
            <w:pPr>
              <w:pStyle w:val="Normal"/>
              <w:spacing w:lineRule="auto" w:line="240" w:before="120" w:after="120"/>
              <w:rPr>
                <w:rFonts w:ascii="Arial" w:hAnsi="Arial" w:cs="Arial"/>
                <w:color w:val="FF0000"/>
              </w:rPr>
            </w:pPr>
            <w:r>
              <w:rPr>
                <w:rFonts w:cs="Arial" w:ascii="Arial" w:hAnsi="Arial"/>
                <w:color w:val="FF0000"/>
              </w:rPr>
              <w:t>Barrister or CILEX with litigation and advocacy rights.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Form/Certificate /Interview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200"/>
              <w:ind w:left="0" w:right="176" w:hanging="0"/>
              <w:rPr/>
            </w:pPr>
            <w:r>
              <w:rPr>
                <w:rFonts w:cs="Arial" w:ascii="Arial" w:hAnsi="Arial"/>
              </w:rPr>
              <w:t>For Grade J</w:t>
            </w:r>
            <w:r>
              <w:rPr>
                <w:rFonts w:eastAsia="Times New Roman" w:cs="Arial" w:ascii="Arial" w:hAnsi="Arial"/>
              </w:rPr>
              <w:t xml:space="preserve"> in addition to I</w:t>
            </w:r>
          </w:p>
          <w:p>
            <w:pPr>
              <w:pStyle w:val="Normal"/>
              <w:spacing w:lineRule="auto" w:line="240" w:before="120" w:after="200"/>
              <w:ind w:left="0" w:right="176" w:hanging="0"/>
              <w:rPr>
                <w:rFonts w:ascii="Arial" w:hAnsi="Arial" w:eastAsia="Times New Roman" w:cs="Arial"/>
              </w:rPr>
            </w:pPr>
            <w:r>
              <w:rPr>
                <w:rFonts w:eastAsia="Times New Roman" w:cs="Arial" w:ascii="Arial" w:hAnsi="Arial"/>
              </w:rPr>
              <w:t>At least 3 years’ experience in the knowledge areas for this post.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For Grade K: in addition to I</w:t>
            </w:r>
          </w:p>
          <w:p>
            <w:pPr>
              <w:pStyle w:val="Normal"/>
              <w:spacing w:lineRule="auto" w:line="240" w:before="120" w:after="120"/>
              <w:rPr>
                <w:rFonts w:ascii="Arial" w:hAnsi="Arial" w:cs="Arial"/>
              </w:rPr>
            </w:pPr>
            <w:r>
              <w:rPr>
                <w:rFonts w:cs="Arial" w:ascii="Arial" w:hAnsi="Arial"/>
              </w:rPr>
              <w:t xml:space="preserve">3-5 plus years’ experience in the knowledge areas for this post. </w:t>
            </w:r>
          </w:p>
          <w:p>
            <w:pPr>
              <w:pStyle w:val="Normal"/>
              <w:spacing w:lineRule="auto" w:line="240" w:before="120" w:after="120"/>
              <w:rPr>
                <w:rFonts w:ascii="Arial" w:hAnsi="Arial" w:cs="Arial"/>
              </w:rPr>
            </w:pPr>
            <w:r>
              <w:rPr>
                <w:rFonts w:cs="Arial" w:ascii="Arial" w:hAnsi="Arial"/>
              </w:rPr>
              <w:t>Experience of mentoring and developing staff or relevant supervisory experience.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Certificate</w:t>
            </w:r>
          </w:p>
        </w:tc>
      </w:tr>
      <w:tr>
        <w:trPr/>
        <w:tc>
          <w:tcPr>
            <w:tcW w:w="5812"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November 2022</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Legal Services</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Default">
    <w:name w:val="Default"/>
    <w:qFormat/>
    <w:pPr>
      <w:widowControl/>
      <w:suppressAutoHyphens w:val="true"/>
      <w:bidi w:val="0"/>
      <w:spacing w:lineRule="auto" w:line="240" w:before="0" w:after="0"/>
      <w:jc w:val="left"/>
    </w:pPr>
    <w:rPr>
      <w:rFonts w:ascii="Arial" w:hAnsi="Arial" w:eastAsia="Times New Roman" w:cs="Arial"/>
      <w:color w:val="000000"/>
      <w:kern w:val="0"/>
      <w:sz w:val="24"/>
      <w:szCs w:val="24"/>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2022-08-10T11:38:00Z</dcterms:created>
  <dc:creator>Johnson, Andrew</dc:creator>
  <dc:description/>
  <dc:language>en-US</dc:language>
  <cp:lastModifiedBy>Cunliffe, Dawn</cp:lastModifiedBy>
  <cp:lastPrinted>1995-11-21T17:41:00Z</cp:lastPrinted>
  <dcterms:modified xsi:type="dcterms:W3CDTF">2022-11-11T18:41:00Z</dcterms:modified>
  <cp:revision>109</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0x0101008066A4D3801A8A49AAB9AFA7F529F47A</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14900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