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b/>
          <w:b/>
          <w:sz w:val="28"/>
          <w:szCs w:val="28"/>
        </w:rPr>
      </w:pPr>
      <w:r>
        <w:rPr>
          <w:b/>
          <w:sz w:val="28"/>
          <w:szCs w:val="28"/>
        </w:rPr>
      </w:r>
    </w:p>
    <w:p>
      <w:pPr>
        <w:pStyle w:val="Normal"/>
        <w:rPr>
          <w:rFonts w:ascii="Foco" w:hAnsi="Foco" w:cs="Foco"/>
          <w:b/>
          <w:b/>
          <w:color w:val="961639"/>
          <w:sz w:val="32"/>
          <w:szCs w:val="32"/>
        </w:rPr>
      </w:pPr>
      <w:r>
        <w:rPr>
          <w:rFonts w:cs="Foco" w:ascii="Foco" w:hAnsi="Foco"/>
          <w:b/>
          <w:color w:val="961639"/>
          <w:sz w:val="32"/>
          <w:szCs w:val="32"/>
        </w:rPr>
        <w:t xml:space="preserve">JOB DESCRIPTION </w:t>
      </w:r>
    </w:p>
    <w:tbl>
      <w:tblPr>
        <w:tblW w:w="4814" w:type="dxa"/>
        <w:jc w:val="left"/>
        <w:tblInd w:w="0" w:type="dxa"/>
        <w:tblCellMar>
          <w:top w:w="0" w:type="dxa"/>
          <w:left w:w="108" w:type="dxa"/>
          <w:bottom w:w="0" w:type="dxa"/>
          <w:right w:w="108" w:type="dxa"/>
        </w:tblCellMar>
      </w:tblPr>
      <w:tblGrid>
        <w:gridCol w:w="1492"/>
        <w:gridCol w:w="3322"/>
      </w:tblGrid>
      <w:tr>
        <w:trPr/>
        <w:tc>
          <w:tcPr>
            <w:tcW w:w="1492" w:type="dxa"/>
            <w:tcBorders/>
            <w:shd w:fill="auto" w:val="clear"/>
          </w:tcPr>
          <w:p>
            <w:pPr>
              <w:pStyle w:val="Normal"/>
              <w:spacing w:lineRule="auto" w:line="240" w:before="0" w:after="0"/>
              <w:rPr>
                <w:rFonts w:ascii="Foco" w:hAnsi="Foco" w:cs="Foco"/>
                <w:b/>
                <w:b/>
              </w:rPr>
            </w:pPr>
            <w:r>
              <w:rPr>
                <w:rFonts w:cs="Foco" w:ascii="Foco" w:hAnsi="Foco"/>
                <w:b/>
              </w:rPr>
              <w:t>Job Title:</w:t>
            </w:r>
          </w:p>
        </w:tc>
        <w:tc>
          <w:tcPr>
            <w:tcW w:w="3322" w:type="dxa"/>
            <w:tcBorders/>
            <w:shd w:fill="auto" w:val="clear"/>
          </w:tcPr>
          <w:p>
            <w:pPr>
              <w:pStyle w:val="Normal"/>
              <w:spacing w:lineRule="auto" w:line="240" w:before="0" w:after="0"/>
              <w:rPr>
                <w:rFonts w:ascii="Foco" w:hAnsi="Foco" w:cs="Foco"/>
              </w:rPr>
            </w:pPr>
            <w:r>
              <w:rPr>
                <w:rFonts w:cs="Foco" w:ascii="Foco" w:hAnsi="Foco"/>
              </w:rPr>
              <w:t>Casual Exam Invigilator</w:t>
            </w:r>
          </w:p>
          <w:p>
            <w:pPr>
              <w:pStyle w:val="Normal"/>
              <w:spacing w:lineRule="auto" w:line="240" w:before="0" w:after="0"/>
              <w:rPr>
                <w:rFonts w:ascii="Foco" w:hAnsi="Foco" w:cs="Foco"/>
                <w:b/>
                <w:b/>
                <w:color w:val="961639"/>
                <w:sz w:val="32"/>
                <w:szCs w:val="32"/>
              </w:rPr>
            </w:pPr>
            <w:r>
              <w:rPr>
                <w:rFonts w:cs="Foco" w:ascii="Foco" w:hAnsi="Foco"/>
                <w:b/>
                <w:color w:val="961639"/>
                <w:sz w:val="32"/>
                <w:szCs w:val="32"/>
              </w:rPr>
            </w:r>
          </w:p>
        </w:tc>
      </w:tr>
      <w:tr>
        <w:trPr/>
        <w:tc>
          <w:tcPr>
            <w:tcW w:w="1492" w:type="dxa"/>
            <w:tcBorders/>
            <w:shd w:fill="auto" w:val="clear"/>
          </w:tcPr>
          <w:p>
            <w:pPr>
              <w:pStyle w:val="Normal"/>
              <w:spacing w:lineRule="auto" w:line="240" w:before="0" w:after="0"/>
              <w:rPr>
                <w:rFonts w:ascii="Foco" w:hAnsi="Foco" w:cs="Foco"/>
                <w:b/>
                <w:b/>
                <w:bCs/>
              </w:rPr>
            </w:pPr>
            <w:r>
              <w:rPr>
                <w:rFonts w:cs="Foco" w:ascii="Foco" w:hAnsi="Foco"/>
                <w:b/>
                <w:bCs/>
              </w:rPr>
              <w:t>School:</w:t>
            </w:r>
          </w:p>
        </w:tc>
        <w:tc>
          <w:tcPr>
            <w:tcW w:w="3322" w:type="dxa"/>
            <w:tcBorders/>
            <w:shd w:fill="auto" w:val="clear"/>
          </w:tcPr>
          <w:p>
            <w:pPr>
              <w:pStyle w:val="Normal"/>
              <w:spacing w:lineRule="auto" w:line="240" w:before="0" w:after="0"/>
              <w:rPr>
                <w:rFonts w:ascii="Foco" w:hAnsi="Foco" w:cs="Foco"/>
              </w:rPr>
            </w:pPr>
            <w:r>
              <w:rPr>
                <w:rFonts w:cs="Foco" w:ascii="Foco" w:hAnsi="Foco"/>
              </w:rPr>
              <w:t>Rivington &amp; Blackrod high School</w:t>
            </w:r>
          </w:p>
        </w:tc>
      </w:tr>
      <w:tr>
        <w:trPr/>
        <w:tc>
          <w:tcPr>
            <w:tcW w:w="1492" w:type="dxa"/>
            <w:tcBorders/>
            <w:shd w:fill="auto" w:val="clear"/>
          </w:tcPr>
          <w:p>
            <w:pPr>
              <w:pStyle w:val="Normal"/>
              <w:snapToGrid w:val="false"/>
              <w:spacing w:lineRule="auto" w:line="240" w:before="0" w:after="0"/>
              <w:rPr>
                <w:rFonts w:ascii="Foco" w:hAnsi="Foco" w:cs="Foco"/>
                <w:b/>
                <w:b/>
                <w:bCs/>
              </w:rPr>
            </w:pPr>
            <w:r>
              <w:rPr>
                <w:rFonts w:cs="Foco" w:ascii="Foco" w:hAnsi="Foco"/>
                <w:b/>
                <w:bCs/>
              </w:rPr>
            </w:r>
          </w:p>
        </w:tc>
        <w:tc>
          <w:tcPr>
            <w:tcW w:w="3322" w:type="dxa"/>
            <w:tcBorders/>
            <w:shd w:fill="auto" w:val="clear"/>
          </w:tcPr>
          <w:p>
            <w:pPr>
              <w:pStyle w:val="Normal"/>
              <w:snapToGrid w:val="false"/>
              <w:spacing w:lineRule="auto" w:line="240" w:before="0" w:after="0"/>
              <w:rPr>
                <w:rFonts w:ascii="Foco" w:hAnsi="Foco" w:cs="Foco"/>
                <w:b/>
                <w:b/>
                <w:bCs/>
              </w:rPr>
            </w:pPr>
            <w:r>
              <w:rPr>
                <w:rFonts w:cs="Foco" w:ascii="Foco" w:hAnsi="Foco"/>
                <w:b/>
                <w:bCs/>
              </w:rPr>
            </w:r>
          </w:p>
        </w:tc>
      </w:tr>
      <w:tr>
        <w:trPr/>
        <w:tc>
          <w:tcPr>
            <w:tcW w:w="1492" w:type="dxa"/>
            <w:tcBorders/>
            <w:shd w:fill="auto" w:val="clear"/>
          </w:tcPr>
          <w:p>
            <w:pPr>
              <w:pStyle w:val="Normal"/>
              <w:spacing w:lineRule="auto" w:line="240" w:before="0" w:after="0"/>
              <w:rPr>
                <w:rFonts w:ascii="Foco" w:hAnsi="Foco" w:cs="Foco"/>
                <w:b/>
                <w:b/>
              </w:rPr>
            </w:pPr>
            <w:r>
              <w:rPr>
                <w:rFonts w:cs="Foco" w:ascii="Foco" w:hAnsi="Foco"/>
                <w:b/>
              </w:rPr>
              <w:t>Grade:</w:t>
            </w:r>
          </w:p>
        </w:tc>
        <w:tc>
          <w:tcPr>
            <w:tcW w:w="3322" w:type="dxa"/>
            <w:tcBorders/>
            <w:shd w:fill="auto" w:val="clear"/>
          </w:tcPr>
          <w:p>
            <w:pPr>
              <w:pStyle w:val="Normal"/>
              <w:spacing w:lineRule="auto" w:line="240" w:before="0" w:after="0"/>
              <w:rPr>
                <w:rFonts w:ascii="Foco" w:hAnsi="Foco" w:cs="Foco"/>
              </w:rPr>
            </w:pPr>
            <w:r>
              <w:rPr>
                <w:rFonts w:cs="Foco" w:ascii="Foco" w:hAnsi="Foco"/>
              </w:rPr>
              <w:t>Grade B SCP 3</w:t>
            </w:r>
          </w:p>
          <w:p>
            <w:pPr>
              <w:pStyle w:val="Normal"/>
              <w:spacing w:lineRule="auto" w:line="240" w:before="0" w:after="0"/>
              <w:rPr>
                <w:rFonts w:ascii="Foco" w:hAnsi="Foco" w:cs="Foco"/>
                <w:b/>
                <w:b/>
                <w:color w:val="961639"/>
                <w:sz w:val="32"/>
                <w:szCs w:val="32"/>
              </w:rPr>
            </w:pPr>
            <w:r>
              <w:rPr>
                <w:rFonts w:cs="Foco" w:ascii="Foco" w:hAnsi="Foco"/>
                <w:b/>
                <w:color w:val="961639"/>
                <w:sz w:val="32"/>
                <w:szCs w:val="32"/>
              </w:rPr>
            </w:r>
          </w:p>
        </w:tc>
      </w:tr>
      <w:tr>
        <w:trPr/>
        <w:tc>
          <w:tcPr>
            <w:tcW w:w="1492" w:type="dxa"/>
            <w:tcBorders/>
            <w:shd w:fill="auto" w:val="clear"/>
          </w:tcPr>
          <w:p>
            <w:pPr>
              <w:pStyle w:val="Normal"/>
              <w:spacing w:lineRule="auto" w:line="240" w:before="0" w:after="0"/>
              <w:rPr/>
            </w:pPr>
            <w:r>
              <w:rPr>
                <w:rFonts w:cs="Foco" w:ascii="Foco" w:hAnsi="Foco"/>
                <w:b/>
              </w:rPr>
              <w:t>Reports to:</w:t>
            </w:r>
            <w:r>
              <w:rPr>
                <w:rFonts w:cs="Foco" w:ascii="Foco" w:hAnsi="Foco"/>
              </w:rPr>
              <w:t xml:space="preserve">  </w:t>
            </w:r>
          </w:p>
        </w:tc>
        <w:tc>
          <w:tcPr>
            <w:tcW w:w="3322" w:type="dxa"/>
            <w:tcBorders/>
            <w:shd w:fill="auto" w:val="clear"/>
          </w:tcPr>
          <w:p>
            <w:pPr>
              <w:pStyle w:val="Normal"/>
              <w:spacing w:lineRule="auto" w:line="240" w:before="0" w:after="0"/>
              <w:rPr>
                <w:rFonts w:ascii="Foco" w:hAnsi="Foco" w:cs="Foco"/>
              </w:rPr>
            </w:pPr>
            <w:r>
              <w:rPr>
                <w:rFonts w:cs="Foco" w:ascii="Foco" w:hAnsi="Foco"/>
              </w:rPr>
              <w:t>Exam’s officer</w:t>
            </w:r>
          </w:p>
        </w:tc>
      </w:tr>
    </w:tbl>
    <w:p>
      <w:pPr>
        <w:pStyle w:val="Normal"/>
        <w:rPr>
          <w:rFonts w:ascii="Foco" w:hAnsi="Foco" w:cs="Foco"/>
          <w:b/>
          <w:b/>
        </w:rPr>
      </w:pPr>
      <w:r>
        <w:rPr>
          <w:rFonts w:cs="Foco" w:ascii="Foco" w:hAnsi="Foco"/>
          <w:b/>
        </w:rPr>
      </w:r>
    </w:p>
    <w:p>
      <w:pPr>
        <w:pStyle w:val="Normal"/>
        <w:rPr/>
      </w:pPr>
      <w:r>
        <w:rPr>
          <w:rFonts w:cs="Foco" w:ascii="Foco" w:hAnsi="Foco"/>
          <w:b/>
        </w:rPr>
        <w:t>Line management responsibility:</w:t>
      </w:r>
      <w:r>
        <w:rPr>
          <w:rFonts w:cs="Foco" w:ascii="Foco" w:hAnsi="Foco"/>
        </w:rPr>
        <w:t xml:space="preserve"> NA</w:t>
      </w:r>
    </w:p>
    <w:p>
      <w:pPr>
        <w:pStyle w:val="Normal"/>
        <w:spacing w:before="120" w:after="160"/>
        <w:rPr/>
      </w:pPr>
      <w:r>
        <w:rPr>
          <w:rFonts w:cs="Foco" w:ascii="Foco" w:hAnsi="Foco"/>
          <w:b/>
        </w:rPr>
        <w:t>Main purpose of the job:</w:t>
      </w:r>
      <w:r>
        <w:rPr>
          <w:rFonts w:cs="Foco" w:ascii="Foco" w:hAnsi="Foco"/>
        </w:rPr>
        <w:t xml:space="preserve"> </w:t>
      </w:r>
      <w:bookmarkStart w:id="0" w:name="_Hlk90464371"/>
      <w:bookmarkEnd w:id="0"/>
    </w:p>
    <w:p>
      <w:pPr>
        <w:pStyle w:val="Normal"/>
        <w:spacing w:before="0" w:after="0"/>
        <w:jc w:val="both"/>
        <w:rPr>
          <w:rFonts w:ascii="Foco" w:hAnsi="Foco" w:cs="Foco"/>
        </w:rPr>
      </w:pPr>
      <w:r>
        <w:rPr>
          <w:rFonts w:cs="Foco" w:ascii="Foco" w:hAnsi="Foco"/>
        </w:rPr>
        <w:t>To provide exam invigilation for both internal and external examinations within the school and to assist in exam administration.</w:t>
      </w:r>
    </w:p>
    <w:p>
      <w:pPr>
        <w:pStyle w:val="Normal"/>
        <w:spacing w:before="0" w:after="0"/>
        <w:rPr>
          <w:rFonts w:ascii="Foco" w:hAnsi="Foco" w:cs="Foco"/>
        </w:rPr>
      </w:pPr>
      <w:r>
        <w:rPr>
          <w:rFonts w:cs="Foco" w:ascii="Foco" w:hAnsi="Foco"/>
        </w:rPr>
      </w:r>
    </w:p>
    <w:p>
      <w:pPr>
        <w:pStyle w:val="Normal"/>
        <w:spacing w:lineRule="auto" w:line="240" w:before="0" w:after="0"/>
        <w:rPr>
          <w:rFonts w:ascii="Foco" w:hAnsi="Foco" w:cs="Foco"/>
          <w:b/>
          <w:b/>
          <w:u w:val="single"/>
        </w:rPr>
      </w:pPr>
      <w:r>
        <w:rPr>
          <w:rFonts w:cs="Foco" w:ascii="Foco" w:hAnsi="Foco"/>
          <w:b/>
          <w:u w:val="single"/>
        </w:rPr>
        <w:t xml:space="preserve">Key duties and responsibilities </w:t>
      </w:r>
    </w:p>
    <w:p>
      <w:pPr>
        <w:pStyle w:val="Normal"/>
        <w:spacing w:lineRule="auto" w:line="240" w:before="0" w:after="0"/>
        <w:rPr>
          <w:rFonts w:ascii="Foco" w:hAnsi="Foco" w:cs="Foco"/>
          <w:b/>
          <w:b/>
          <w:u w:val="single"/>
        </w:rPr>
      </w:pPr>
      <w:r>
        <w:rPr>
          <w:rFonts w:cs="Foco" w:ascii="Foco" w:hAnsi="Foco"/>
          <w:b/>
          <w:u w:val="single"/>
        </w:rPr>
      </w:r>
    </w:p>
    <w:p>
      <w:pPr>
        <w:pStyle w:val="Normal"/>
        <w:jc w:val="both"/>
        <w:rPr>
          <w:rFonts w:ascii="Foco" w:hAnsi="Foco" w:cs="Foco"/>
          <w:b/>
          <w:b/>
          <w:bCs/>
          <w:color w:val="C00000"/>
        </w:rPr>
      </w:pPr>
      <w:r>
        <w:rPr>
          <w:rFonts w:cs="Foco" w:ascii="Foco" w:hAnsi="Foco"/>
          <w:b/>
          <w:bCs/>
          <w:color w:val="C00000"/>
        </w:rPr>
        <w:t xml:space="preserve">Principal Responsibilities </w:t>
      </w:r>
    </w:p>
    <w:p>
      <w:pPr>
        <w:pStyle w:val="Default"/>
        <w:numPr>
          <w:ilvl w:val="0"/>
          <w:numId w:val="2"/>
        </w:numPr>
        <w:jc w:val="both"/>
        <w:rPr>
          <w:rFonts w:ascii="Foco" w:hAnsi="Foco" w:cs="Foco"/>
          <w:sz w:val="22"/>
          <w:szCs w:val="22"/>
        </w:rPr>
      </w:pPr>
      <w:r>
        <w:rPr>
          <w:rFonts w:cs="Foco" w:ascii="Foco" w:hAnsi="Foco"/>
          <w:sz w:val="22"/>
          <w:szCs w:val="22"/>
        </w:rPr>
        <w:t>To ensure that all rules and regulations, especially the JCQ booklet ‘Instructions for the Conduct of Examinations’ (ICE booklet), relating to the conduct of exams are strictly applied and dealing with examination irregularities in accordance with procedures.</w:t>
      </w:r>
    </w:p>
    <w:p>
      <w:pPr>
        <w:pStyle w:val="Default"/>
        <w:numPr>
          <w:ilvl w:val="0"/>
          <w:numId w:val="2"/>
        </w:numPr>
        <w:jc w:val="both"/>
        <w:rPr>
          <w:rFonts w:ascii="Foco" w:hAnsi="Foco" w:cs="Foco"/>
          <w:sz w:val="22"/>
          <w:szCs w:val="22"/>
        </w:rPr>
      </w:pPr>
      <w:r>
        <w:rPr>
          <w:rFonts w:cs="Foco" w:ascii="Foco" w:hAnsi="Foco"/>
          <w:sz w:val="22"/>
          <w:szCs w:val="22"/>
        </w:rPr>
        <w:t>To ensure that candidates have an equal, safe and secure environment in which to sit their examinations.</w:t>
      </w:r>
    </w:p>
    <w:p>
      <w:pPr>
        <w:pStyle w:val="Default"/>
        <w:numPr>
          <w:ilvl w:val="0"/>
          <w:numId w:val="2"/>
        </w:numPr>
        <w:jc w:val="both"/>
        <w:rPr>
          <w:rFonts w:ascii="Foco" w:hAnsi="Foco" w:cs="Foco"/>
          <w:sz w:val="22"/>
          <w:szCs w:val="22"/>
        </w:rPr>
      </w:pPr>
      <w:r>
        <w:rPr>
          <w:rFonts w:cs="Foco" w:ascii="Foco" w:hAnsi="Foco"/>
          <w:sz w:val="22"/>
          <w:szCs w:val="22"/>
        </w:rPr>
        <w:t>To prevent possible candidate malpractice and prevent possible administrative failures.</w:t>
      </w:r>
    </w:p>
    <w:p>
      <w:pPr>
        <w:pStyle w:val="Default"/>
        <w:numPr>
          <w:ilvl w:val="0"/>
          <w:numId w:val="2"/>
        </w:numPr>
        <w:jc w:val="both"/>
        <w:rPr>
          <w:rFonts w:ascii="Foco" w:hAnsi="Foco" w:cs="Foco"/>
          <w:sz w:val="22"/>
          <w:szCs w:val="22"/>
        </w:rPr>
      </w:pPr>
      <w:r>
        <w:rPr>
          <w:rFonts w:cs="Foco" w:ascii="Foco" w:hAnsi="Foco"/>
          <w:sz w:val="22"/>
          <w:szCs w:val="22"/>
        </w:rPr>
        <w:t>To be aware of and comply with policies and procedures (in particular fire procedures for pupils during an exam) relating to child protection, health and safety, confidentiality and data protection, reporting all concerns to an appropriate person.</w:t>
      </w:r>
    </w:p>
    <w:p>
      <w:pPr>
        <w:pStyle w:val="Normal"/>
        <w:jc w:val="both"/>
        <w:rPr>
          <w:rFonts w:ascii="Foco" w:hAnsi="Foco" w:cs="Foco"/>
          <w:b/>
          <w:b/>
        </w:rPr>
      </w:pPr>
      <w:r>
        <w:rPr>
          <w:rFonts w:cs="Foco" w:ascii="Foco" w:hAnsi="Foco"/>
          <w:b/>
        </w:rPr>
      </w:r>
    </w:p>
    <w:p>
      <w:pPr>
        <w:pStyle w:val="Normal"/>
        <w:jc w:val="both"/>
        <w:rPr>
          <w:rFonts w:ascii="Foco" w:hAnsi="Foco" w:cs="Foco"/>
          <w:b/>
          <w:b/>
          <w:color w:val="C00000"/>
        </w:rPr>
      </w:pPr>
      <w:r>
        <w:rPr>
          <w:rFonts w:cs="Foco" w:ascii="Foco" w:hAnsi="Foco"/>
          <w:b/>
          <w:color w:val="C00000"/>
        </w:rPr>
        <w:t xml:space="preserve">Main Duties  </w:t>
      </w:r>
    </w:p>
    <w:tbl>
      <w:tblPr>
        <w:tblW w:w="10065" w:type="dxa"/>
        <w:jc w:val="left"/>
        <w:tblInd w:w="-34" w:type="dxa"/>
        <w:tblCellMar>
          <w:top w:w="0" w:type="dxa"/>
          <w:left w:w="108" w:type="dxa"/>
          <w:bottom w:w="0" w:type="dxa"/>
          <w:right w:w="108" w:type="dxa"/>
        </w:tblCellMar>
      </w:tblPr>
      <w:tblGrid>
        <w:gridCol w:w="10065"/>
      </w:tblGrid>
      <w:tr>
        <w:trPr>
          <w:trHeight w:val="501" w:hRule="atLeast"/>
        </w:trPr>
        <w:tc>
          <w:tcPr>
            <w:tcW w:w="10065" w:type="dxa"/>
            <w:tcBorders/>
            <w:shd w:fill="auto" w:val="clear"/>
          </w:tcPr>
          <w:p>
            <w:pPr>
              <w:pStyle w:val="Default"/>
              <w:numPr>
                <w:ilvl w:val="0"/>
                <w:numId w:val="4"/>
              </w:numPr>
              <w:ind w:left="720" w:right="-3506" w:hanging="360"/>
              <w:jc w:val="both"/>
              <w:rPr>
                <w:rFonts w:ascii="Foco" w:hAnsi="Foco" w:cs="Foco"/>
                <w:sz w:val="22"/>
                <w:szCs w:val="22"/>
              </w:rPr>
            </w:pPr>
            <w:r>
              <w:rPr>
                <w:rFonts w:cs="Foco" w:ascii="Foco" w:hAnsi="Foco"/>
                <w:sz w:val="22"/>
                <w:szCs w:val="22"/>
              </w:rPr>
              <w:t xml:space="preserve">Being available before and after the exam times to assist the Exams Officer  </w:t>
            </w:r>
          </w:p>
          <w:p>
            <w:pPr>
              <w:pStyle w:val="Default"/>
              <w:ind w:left="720" w:right="-3506" w:hanging="0"/>
              <w:jc w:val="both"/>
              <w:rPr>
                <w:rFonts w:ascii="Foco" w:hAnsi="Foco" w:cs="Foco"/>
                <w:sz w:val="22"/>
                <w:szCs w:val="22"/>
              </w:rPr>
            </w:pPr>
            <w:r>
              <w:rPr>
                <w:rFonts w:cs="Foco" w:ascii="Foco" w:hAnsi="Foco"/>
                <w:sz w:val="22"/>
                <w:szCs w:val="22"/>
              </w:rPr>
              <w:t xml:space="preserve">with preparation and tidying of exam rooms, ie: placement of table numbers, </w:t>
            </w:r>
          </w:p>
          <w:p>
            <w:pPr>
              <w:pStyle w:val="Default"/>
              <w:ind w:left="720" w:right="-3506" w:hanging="0"/>
              <w:jc w:val="both"/>
              <w:rPr>
                <w:rFonts w:ascii="Foco" w:hAnsi="Foco" w:cs="Foco"/>
                <w:sz w:val="22"/>
                <w:szCs w:val="22"/>
              </w:rPr>
            </w:pPr>
            <w:r>
              <w:rPr>
                <w:rFonts w:cs="Foco" w:ascii="Foco" w:hAnsi="Foco"/>
                <w:sz w:val="22"/>
                <w:szCs w:val="22"/>
              </w:rPr>
              <w:t xml:space="preserve">placing posters according to the ICE Booklet, distribution of exam equipment </w:t>
            </w:r>
          </w:p>
          <w:p>
            <w:pPr>
              <w:pStyle w:val="Default"/>
              <w:ind w:left="720" w:right="-3506" w:hanging="0"/>
              <w:jc w:val="both"/>
              <w:rPr>
                <w:rFonts w:ascii="Foco" w:hAnsi="Foco" w:cs="Foco"/>
                <w:sz w:val="22"/>
                <w:szCs w:val="22"/>
              </w:rPr>
            </w:pPr>
            <w:r>
              <w:rPr>
                <w:rFonts w:cs="Foco" w:ascii="Foco" w:hAnsi="Foco"/>
                <w:sz w:val="22"/>
                <w:szCs w:val="22"/>
              </w:rPr>
              <w:t xml:space="preserve">(e.g. pens, pencils, mathematical instruments and mathematical instruments). </w:t>
            </w:r>
          </w:p>
          <w:p>
            <w:pPr>
              <w:pStyle w:val="Default"/>
              <w:numPr>
                <w:ilvl w:val="0"/>
                <w:numId w:val="4"/>
              </w:numPr>
              <w:jc w:val="both"/>
              <w:rPr>
                <w:rFonts w:ascii="Foco" w:hAnsi="Foco" w:cs="Foco"/>
                <w:sz w:val="22"/>
                <w:szCs w:val="22"/>
              </w:rPr>
            </w:pPr>
            <w:r>
              <w:rPr>
                <w:rFonts w:cs="Foco" w:ascii="Foco" w:hAnsi="Foco"/>
                <w:sz w:val="22"/>
                <w:szCs w:val="22"/>
              </w:rPr>
              <w:t>Checking the exam room meets exam standards.</w:t>
            </w:r>
          </w:p>
          <w:p>
            <w:pPr>
              <w:pStyle w:val="Default"/>
              <w:numPr>
                <w:ilvl w:val="0"/>
                <w:numId w:val="4"/>
              </w:numPr>
              <w:jc w:val="both"/>
              <w:rPr>
                <w:rFonts w:ascii="Foco" w:hAnsi="Foco" w:cs="Foco"/>
                <w:sz w:val="22"/>
                <w:szCs w:val="22"/>
              </w:rPr>
            </w:pPr>
            <w:r>
              <w:rPr>
                <w:rFonts w:cs="Foco" w:ascii="Foco" w:hAnsi="Foco"/>
                <w:sz w:val="22"/>
                <w:szCs w:val="22"/>
              </w:rPr>
              <w:t>Ensure candidates get to their pre-advised seats, escalating any exceptions and advising them about possessions permitted in exam rooms.</w:t>
            </w:r>
          </w:p>
          <w:p>
            <w:pPr>
              <w:pStyle w:val="Default"/>
              <w:numPr>
                <w:ilvl w:val="0"/>
                <w:numId w:val="4"/>
              </w:numPr>
              <w:jc w:val="both"/>
              <w:rPr>
                <w:rFonts w:ascii="Foco" w:hAnsi="Foco" w:cs="Foco"/>
                <w:sz w:val="22"/>
                <w:szCs w:val="22"/>
              </w:rPr>
            </w:pPr>
            <w:r>
              <w:rPr>
                <w:rFonts w:cs="Foco" w:ascii="Foco" w:hAnsi="Foco"/>
                <w:sz w:val="22"/>
                <w:szCs w:val="22"/>
              </w:rPr>
              <w:t xml:space="preserve">Distribution and collection of exam papers. </w:t>
            </w:r>
          </w:p>
        </w:tc>
      </w:tr>
      <w:tr>
        <w:trPr>
          <w:trHeight w:val="501" w:hRule="atLeast"/>
        </w:trPr>
        <w:tc>
          <w:tcPr>
            <w:tcW w:w="10065" w:type="dxa"/>
            <w:tcBorders/>
            <w:shd w:fill="auto" w:val="clear"/>
          </w:tcPr>
          <w:p>
            <w:pPr>
              <w:pStyle w:val="Default"/>
              <w:numPr>
                <w:ilvl w:val="0"/>
                <w:numId w:val="3"/>
              </w:numPr>
              <w:jc w:val="both"/>
              <w:rPr>
                <w:rFonts w:ascii="Foco" w:hAnsi="Foco" w:cs="Foco"/>
                <w:sz w:val="22"/>
                <w:szCs w:val="22"/>
              </w:rPr>
            </w:pPr>
            <w:r>
              <w:rPr>
                <w:rFonts w:cs="Foco" w:ascii="Foco" w:hAnsi="Foco"/>
                <w:sz w:val="22"/>
                <w:szCs w:val="22"/>
              </w:rPr>
              <w:t>Check for and take into account Special Arrangements for candidates.</w:t>
            </w:r>
          </w:p>
          <w:p>
            <w:pPr>
              <w:pStyle w:val="Default"/>
              <w:numPr>
                <w:ilvl w:val="0"/>
                <w:numId w:val="3"/>
              </w:numPr>
              <w:jc w:val="both"/>
              <w:rPr>
                <w:rFonts w:ascii="Foco" w:hAnsi="Foco" w:cs="Foco"/>
                <w:sz w:val="22"/>
                <w:szCs w:val="22"/>
              </w:rPr>
            </w:pPr>
            <w:r>
              <w:rPr>
                <w:rFonts w:cs="Foco" w:ascii="Foco" w:hAnsi="Foco"/>
                <w:sz w:val="22"/>
                <w:szCs w:val="22"/>
              </w:rPr>
              <w:t xml:space="preserve">Completing the attendance register where appropriate. </w:t>
            </w:r>
          </w:p>
          <w:p>
            <w:pPr>
              <w:pStyle w:val="Default"/>
              <w:numPr>
                <w:ilvl w:val="0"/>
                <w:numId w:val="3"/>
              </w:numPr>
              <w:jc w:val="both"/>
              <w:rPr>
                <w:rFonts w:ascii="Foco" w:hAnsi="Foco" w:cs="Foco"/>
                <w:sz w:val="22"/>
                <w:szCs w:val="22"/>
              </w:rPr>
            </w:pPr>
            <w:r>
              <w:rPr>
                <w:rFonts w:cs="Foco" w:ascii="Foco" w:hAnsi="Foco"/>
                <w:sz w:val="22"/>
                <w:szCs w:val="22"/>
              </w:rPr>
              <w:t>Starting the exam and reading out any notices.</w:t>
            </w:r>
          </w:p>
          <w:p>
            <w:pPr>
              <w:pStyle w:val="Default"/>
              <w:numPr>
                <w:ilvl w:val="0"/>
                <w:numId w:val="3"/>
              </w:numPr>
              <w:jc w:val="both"/>
              <w:rPr>
                <w:rFonts w:ascii="Foco" w:hAnsi="Foco" w:cs="Foco"/>
                <w:sz w:val="22"/>
                <w:szCs w:val="22"/>
              </w:rPr>
            </w:pPr>
            <w:r>
              <w:rPr>
                <w:rFonts w:cs="Foco" w:ascii="Foco" w:hAnsi="Foco"/>
                <w:sz w:val="22"/>
                <w:szCs w:val="22"/>
              </w:rPr>
              <w:t>Work to the timing of the exam advising candidates of the start and end times.</w:t>
            </w:r>
          </w:p>
          <w:p>
            <w:pPr>
              <w:pStyle w:val="Default"/>
              <w:numPr>
                <w:ilvl w:val="0"/>
                <w:numId w:val="3"/>
              </w:numPr>
              <w:jc w:val="both"/>
              <w:rPr>
                <w:rFonts w:ascii="Foco" w:hAnsi="Foco" w:cs="Foco"/>
                <w:sz w:val="22"/>
                <w:szCs w:val="22"/>
              </w:rPr>
            </w:pPr>
            <w:r>
              <w:rPr>
                <w:rFonts w:cs="Foco" w:ascii="Foco" w:hAnsi="Foco"/>
                <w:sz w:val="22"/>
                <w:szCs w:val="22"/>
              </w:rPr>
              <w:t>Record any late arrivals or early leavers and issue or collect their scripts.</w:t>
            </w:r>
          </w:p>
          <w:p>
            <w:pPr>
              <w:pStyle w:val="Default"/>
              <w:numPr>
                <w:ilvl w:val="0"/>
                <w:numId w:val="3"/>
              </w:numPr>
              <w:jc w:val="both"/>
              <w:rPr>
                <w:rFonts w:ascii="Foco" w:hAnsi="Foco" w:cs="Foco"/>
                <w:sz w:val="22"/>
                <w:szCs w:val="22"/>
              </w:rPr>
            </w:pPr>
            <w:r>
              <w:rPr>
                <w:rFonts w:cs="Foco" w:ascii="Foco" w:hAnsi="Foco"/>
                <w:sz w:val="22"/>
                <w:szCs w:val="22"/>
              </w:rPr>
              <w:t>Invigilate during the exam by ensuring the regulations, as defined in the Instructions for Conducting Examinations (ICE) booklet are complied with at all times, dealing with queries raised by candidates and dealing with examination irregularities in accordance with documented procedures.</w:t>
            </w:r>
          </w:p>
          <w:p>
            <w:pPr>
              <w:pStyle w:val="Default"/>
              <w:numPr>
                <w:ilvl w:val="0"/>
                <w:numId w:val="3"/>
              </w:numPr>
              <w:jc w:val="both"/>
              <w:rPr>
                <w:rFonts w:ascii="Foco" w:hAnsi="Foco" w:cs="Foco"/>
                <w:sz w:val="22"/>
                <w:szCs w:val="22"/>
              </w:rPr>
            </w:pPr>
            <w:r>
              <w:rPr>
                <w:rFonts w:cs="Foco" w:ascii="Foco" w:hAnsi="Foco"/>
                <w:sz w:val="22"/>
                <w:szCs w:val="22"/>
              </w:rPr>
              <w:t xml:space="preserve">Maintaining exam conditions throughout by, for instance, ensuring students are silent and they do not communicate with others. </w:t>
            </w:r>
          </w:p>
          <w:p>
            <w:pPr>
              <w:pStyle w:val="Default"/>
              <w:numPr>
                <w:ilvl w:val="0"/>
                <w:numId w:val="3"/>
              </w:numPr>
              <w:jc w:val="both"/>
              <w:rPr>
                <w:rFonts w:ascii="Foco" w:hAnsi="Foco" w:cs="Foco"/>
                <w:sz w:val="22"/>
                <w:szCs w:val="22"/>
              </w:rPr>
            </w:pPr>
            <w:r>
              <w:rPr>
                <w:rFonts w:cs="Foco" w:ascii="Foco" w:hAnsi="Foco"/>
                <w:sz w:val="22"/>
                <w:szCs w:val="22"/>
              </w:rPr>
              <w:t xml:space="preserve">Reporting and record all exceptional events or situations. </w:t>
            </w:r>
          </w:p>
          <w:p>
            <w:pPr>
              <w:pStyle w:val="Default"/>
              <w:numPr>
                <w:ilvl w:val="0"/>
                <w:numId w:val="3"/>
              </w:numPr>
              <w:jc w:val="both"/>
              <w:rPr>
                <w:rFonts w:ascii="Foco" w:hAnsi="Foco" w:cs="Foco"/>
                <w:sz w:val="22"/>
                <w:szCs w:val="22"/>
              </w:rPr>
            </w:pPr>
            <w:r>
              <w:rPr>
                <w:rFonts w:cs="Foco" w:ascii="Foco" w:hAnsi="Foco"/>
                <w:sz w:val="22"/>
                <w:szCs w:val="22"/>
              </w:rPr>
              <w:t>Collecting and collating exam papers at the end of the examination, as requested, and returning them to a secure area or pass them to a member of the Exams team.</w:t>
            </w:r>
          </w:p>
          <w:p>
            <w:pPr>
              <w:pStyle w:val="Default"/>
              <w:numPr>
                <w:ilvl w:val="0"/>
                <w:numId w:val="3"/>
              </w:numPr>
              <w:jc w:val="both"/>
              <w:rPr>
                <w:rFonts w:ascii="Foco" w:hAnsi="Foco" w:cs="Foco"/>
                <w:sz w:val="22"/>
                <w:szCs w:val="22"/>
              </w:rPr>
            </w:pPr>
            <w:r>
              <w:rPr>
                <w:rFonts w:cs="Foco" w:ascii="Foco" w:hAnsi="Foco"/>
                <w:sz w:val="22"/>
                <w:szCs w:val="22"/>
              </w:rPr>
              <w:t>Supervise the orderly exit of candidates leaving the exam room.</w:t>
            </w:r>
          </w:p>
          <w:p>
            <w:pPr>
              <w:pStyle w:val="Default"/>
              <w:numPr>
                <w:ilvl w:val="0"/>
                <w:numId w:val="3"/>
              </w:numPr>
              <w:jc w:val="both"/>
              <w:rPr>
                <w:rFonts w:ascii="Foco" w:hAnsi="Foco" w:cs="Foco"/>
                <w:sz w:val="22"/>
                <w:szCs w:val="22"/>
              </w:rPr>
            </w:pPr>
            <w:r>
              <w:rPr>
                <w:rFonts w:cs="Foco" w:ascii="Foco" w:hAnsi="Foco"/>
                <w:sz w:val="22"/>
                <w:szCs w:val="22"/>
              </w:rPr>
              <w:t xml:space="preserve">In the case of an emergency, e.g. evacuation, following the instructions of the Exams Officer, to escort the candidates from the exam room as per the Exams Evacuation policy. </w:t>
            </w:r>
          </w:p>
          <w:p>
            <w:pPr>
              <w:pStyle w:val="Default"/>
              <w:numPr>
                <w:ilvl w:val="0"/>
                <w:numId w:val="3"/>
              </w:numPr>
              <w:jc w:val="both"/>
              <w:rPr>
                <w:rFonts w:ascii="Foco" w:hAnsi="Foco" w:cs="Foco"/>
                <w:sz w:val="22"/>
                <w:szCs w:val="22"/>
              </w:rPr>
            </w:pPr>
            <w:r>
              <w:rPr>
                <w:rFonts w:cs="Foco" w:ascii="Foco" w:hAnsi="Foco"/>
                <w:sz w:val="22"/>
                <w:szCs w:val="22"/>
              </w:rPr>
              <w:t xml:space="preserve">Rearrange/tidy the exam room to leave it in a suitable state. </w:t>
            </w:r>
          </w:p>
          <w:p>
            <w:pPr>
              <w:pStyle w:val="Default"/>
              <w:numPr>
                <w:ilvl w:val="0"/>
                <w:numId w:val="3"/>
              </w:numPr>
              <w:jc w:val="both"/>
              <w:rPr>
                <w:rFonts w:ascii="Foco" w:hAnsi="Foco" w:cs="Foco"/>
                <w:sz w:val="22"/>
                <w:szCs w:val="22"/>
              </w:rPr>
            </w:pPr>
            <w:r>
              <w:rPr>
                <w:rFonts w:cs="Foco" w:ascii="Foco" w:hAnsi="Foco"/>
                <w:sz w:val="22"/>
                <w:szCs w:val="22"/>
              </w:rPr>
              <w:t>Complete timesheets for work carried out and submit in a timely manner.</w:t>
            </w:r>
          </w:p>
          <w:p>
            <w:pPr>
              <w:pStyle w:val="Default"/>
              <w:numPr>
                <w:ilvl w:val="0"/>
                <w:numId w:val="3"/>
              </w:numPr>
              <w:jc w:val="both"/>
              <w:rPr>
                <w:rFonts w:ascii="Foco" w:hAnsi="Foco" w:cs="Foco"/>
                <w:sz w:val="22"/>
                <w:szCs w:val="22"/>
              </w:rPr>
            </w:pPr>
            <w:r>
              <w:rPr>
                <w:rFonts w:cs="Foco" w:ascii="Foco" w:hAnsi="Foco"/>
                <w:sz w:val="22"/>
                <w:szCs w:val="22"/>
              </w:rPr>
              <w:t>Attend yearly invigilation training sessions/refresher courses.</w:t>
            </w:r>
          </w:p>
          <w:p>
            <w:pPr>
              <w:pStyle w:val="Default"/>
              <w:numPr>
                <w:ilvl w:val="0"/>
                <w:numId w:val="3"/>
              </w:numPr>
              <w:jc w:val="both"/>
              <w:rPr>
                <w:rFonts w:ascii="Foco" w:hAnsi="Foco" w:cs="Foco"/>
                <w:sz w:val="22"/>
                <w:szCs w:val="22"/>
              </w:rPr>
            </w:pPr>
            <w:r>
              <w:rPr>
                <w:rFonts w:cs="Foco" w:ascii="Foco" w:hAnsi="Foco"/>
                <w:sz w:val="22"/>
                <w:szCs w:val="22"/>
              </w:rPr>
              <w:t xml:space="preserve">Invigilate candidates with special arrangements e.g. extra time, readers, scribes etc. Additional guidance will be given if this is the case. </w:t>
            </w:r>
          </w:p>
          <w:p>
            <w:pPr>
              <w:pStyle w:val="Default"/>
              <w:numPr>
                <w:ilvl w:val="0"/>
                <w:numId w:val="3"/>
              </w:numPr>
              <w:jc w:val="both"/>
              <w:rPr>
                <w:rFonts w:ascii="Foco" w:hAnsi="Foco" w:cs="Foco"/>
                <w:sz w:val="22"/>
                <w:szCs w:val="22"/>
              </w:rPr>
            </w:pPr>
            <w:r>
              <w:rPr>
                <w:rFonts w:cs="Foco" w:ascii="Foco" w:hAnsi="Foco"/>
                <w:sz w:val="22"/>
                <w:szCs w:val="22"/>
              </w:rPr>
              <w:t>Be familiar with the contents of the JCQ booklet ‘Instructions for the Conduct of Examinations’.  Training will be given to ensure this criteria is achieved.</w:t>
            </w:r>
          </w:p>
        </w:tc>
      </w:tr>
    </w:tbl>
    <w:p>
      <w:pPr>
        <w:pStyle w:val="Normal"/>
        <w:rPr>
          <w:rFonts w:ascii="Foco" w:hAnsi="Foco" w:cs="Foco"/>
        </w:rPr>
      </w:pPr>
      <w:r>
        <w:rPr>
          <w:rFonts w:cs="Foco" w:ascii="Foco" w:hAnsi="Foco"/>
        </w:rPr>
      </w:r>
    </w:p>
    <w:p>
      <w:pPr>
        <w:pStyle w:val="Normal"/>
        <w:jc w:val="both"/>
        <w:rPr>
          <w:rFonts w:ascii="Foco" w:hAnsi="Foco" w:cs="Foco"/>
        </w:rPr>
      </w:pPr>
      <w:r>
        <w:rPr>
          <w:rFonts w:cs="Foco" w:ascii="Foco" w:hAnsi="Foco"/>
        </w:rPr>
        <w:t>The school is committed to safer recruitment practice and pre-employment checks will be undertaken before any appointment is confirmed. This post is subject to enhanced criminal records bureau disclosure. The school is committed to safeguarding and promoting the welfare of children and young people and expects staff and volunteers to share this commitment.</w:t>
      </w:r>
    </w:p>
    <w:p>
      <w:pPr>
        <w:pStyle w:val="Normal"/>
        <w:rPr>
          <w:rFonts w:ascii="Century Gothic" w:hAnsi="Century Gothic" w:cs="Century Gothic"/>
          <w:sz w:val="20"/>
        </w:rPr>
      </w:pPr>
      <w:r>
        <w:rPr>
          <w:rFonts w:cs="Century Gothic" w:ascii="Century Gothic" w:hAnsi="Century Gothic"/>
          <w:sz w:val="20"/>
        </w:rPr>
      </w:r>
    </w:p>
    <w:p>
      <w:pPr>
        <w:pStyle w:val="Normal"/>
        <w:rPr>
          <w:rFonts w:ascii="Foco" w:hAnsi="Foco" w:cs="Foco"/>
          <w:b/>
          <w:b/>
          <w:color w:val="961639"/>
          <w:sz w:val="32"/>
          <w:szCs w:val="32"/>
        </w:rPr>
      </w:pPr>
      <w:r>
        <w:rPr>
          <w:rFonts w:cs="Foco" w:ascii="Foco" w:hAnsi="Foco"/>
          <w:b/>
          <w:color w:val="961639"/>
          <w:sz w:val="32"/>
          <w:szCs w:val="32"/>
        </w:rPr>
      </w:r>
    </w:p>
    <w:p>
      <w:pPr>
        <w:pStyle w:val="Normal"/>
        <w:rPr>
          <w:rFonts w:ascii="Foco" w:hAnsi="Foco" w:cs="Foco"/>
          <w:b/>
          <w:b/>
          <w:color w:val="961639"/>
          <w:sz w:val="32"/>
          <w:szCs w:val="32"/>
        </w:rPr>
      </w:pPr>
      <w:r>
        <w:rPr>
          <w:rFonts w:cs="Foco" w:ascii="Foco" w:hAnsi="Foco"/>
          <w:b/>
          <w:color w:val="961639"/>
          <w:sz w:val="32"/>
          <w:szCs w:val="32"/>
        </w:rPr>
      </w:r>
    </w:p>
    <w:p>
      <w:pPr>
        <w:pStyle w:val="Normal"/>
        <w:rPr>
          <w:rFonts w:ascii="Foco" w:hAnsi="Foco" w:cs="Foco"/>
          <w:b/>
          <w:b/>
          <w:color w:val="961639"/>
          <w:sz w:val="32"/>
          <w:szCs w:val="32"/>
        </w:rPr>
      </w:pPr>
      <w:r>
        <w:rPr>
          <w:rFonts w:cs="Foco" w:ascii="Foco" w:hAnsi="Foco"/>
          <w:b/>
          <w:color w:val="961639"/>
          <w:sz w:val="32"/>
          <w:szCs w:val="32"/>
        </w:rPr>
      </w:r>
    </w:p>
    <w:p>
      <w:pPr>
        <w:pStyle w:val="Normal"/>
        <w:rPr>
          <w:rFonts w:ascii="Foco" w:hAnsi="Foco" w:cs="Foco"/>
          <w:b/>
          <w:b/>
          <w:color w:val="961639"/>
          <w:sz w:val="32"/>
          <w:szCs w:val="32"/>
        </w:rPr>
      </w:pPr>
      <w:r>
        <w:rPr>
          <w:rFonts w:cs="Foco" w:ascii="Foco" w:hAnsi="Foco"/>
          <w:b/>
          <w:color w:val="961639"/>
          <w:sz w:val="32"/>
          <w:szCs w:val="32"/>
        </w:rPr>
      </w:r>
    </w:p>
    <w:p>
      <w:pPr>
        <w:pStyle w:val="Normal"/>
        <w:rPr>
          <w:rFonts w:ascii="Foco" w:hAnsi="Foco" w:cs="Foco"/>
          <w:b/>
          <w:b/>
          <w:color w:val="961639"/>
          <w:sz w:val="32"/>
          <w:szCs w:val="32"/>
        </w:rPr>
      </w:pPr>
      <w:r>
        <w:rPr>
          <w:rFonts w:cs="Foco" w:ascii="Foco" w:hAnsi="Foco"/>
          <w:b/>
          <w:color w:val="961639"/>
          <w:sz w:val="32"/>
          <w:szCs w:val="32"/>
        </w:rPr>
      </w:r>
    </w:p>
    <w:p>
      <w:pPr>
        <w:pStyle w:val="Normal"/>
        <w:rPr>
          <w:rFonts w:ascii="Foco" w:hAnsi="Foco" w:cs="Foco"/>
          <w:b/>
          <w:b/>
          <w:color w:val="961639"/>
          <w:sz w:val="32"/>
          <w:szCs w:val="32"/>
        </w:rPr>
      </w:pPr>
      <w:r>
        <w:rPr>
          <w:rFonts w:cs="Foco" w:ascii="Foco" w:hAnsi="Foco"/>
          <w:b/>
          <w:color w:val="961639"/>
          <w:sz w:val="32"/>
          <w:szCs w:val="32"/>
        </w:rPr>
      </w:r>
    </w:p>
    <w:p>
      <w:pPr>
        <w:pStyle w:val="Normal"/>
        <w:rPr>
          <w:rFonts w:ascii="Foco" w:hAnsi="Foco" w:cs="Foco"/>
          <w:b/>
          <w:b/>
          <w:color w:val="961639"/>
          <w:sz w:val="32"/>
          <w:szCs w:val="32"/>
        </w:rPr>
      </w:pPr>
      <w:r>
        <w:rPr>
          <w:rFonts w:cs="Foco" w:ascii="Foco" w:hAnsi="Foco"/>
          <w:b/>
          <w:color w:val="961639"/>
          <w:sz w:val="32"/>
          <w:szCs w:val="32"/>
        </w:rPr>
      </w:r>
    </w:p>
    <w:p>
      <w:pPr>
        <w:pStyle w:val="Normal"/>
        <w:rPr>
          <w:rFonts w:ascii="Foco" w:hAnsi="Foco" w:cs="Foco"/>
          <w:b/>
          <w:b/>
          <w:color w:val="961639"/>
          <w:sz w:val="32"/>
          <w:szCs w:val="32"/>
        </w:rPr>
      </w:pPr>
      <w:r>
        <w:rPr>
          <w:rFonts w:cs="Foco" w:ascii="Foco" w:hAnsi="Foco"/>
          <w:b/>
          <w:color w:val="961639"/>
          <w:sz w:val="32"/>
          <w:szCs w:val="32"/>
        </w:rPr>
      </w:r>
    </w:p>
    <w:p>
      <w:pPr>
        <w:pStyle w:val="Normal"/>
        <w:rPr>
          <w:rFonts w:ascii="Foco" w:hAnsi="Foco" w:cs="Foco"/>
          <w:b/>
          <w:b/>
          <w:color w:val="961639"/>
          <w:sz w:val="32"/>
          <w:szCs w:val="32"/>
        </w:rPr>
      </w:pPr>
      <w:r>
        <w:rPr>
          <w:rFonts w:cs="Foco" w:ascii="Foco" w:hAnsi="Foco"/>
          <w:b/>
          <w:color w:val="961639"/>
          <w:sz w:val="32"/>
          <w:szCs w:val="32"/>
        </w:rPr>
      </w:r>
    </w:p>
    <w:p>
      <w:pPr>
        <w:pStyle w:val="Normal"/>
        <w:rPr>
          <w:rFonts w:ascii="Foco" w:hAnsi="Foco" w:cs="Foco"/>
          <w:b/>
          <w:b/>
          <w:color w:val="961639"/>
          <w:sz w:val="32"/>
          <w:szCs w:val="32"/>
        </w:rPr>
      </w:pPr>
      <w:r>
        <w:rPr>
          <w:rFonts w:cs="Foco" w:ascii="Foco" w:hAnsi="Foco"/>
          <w:b/>
          <w:color w:val="961639"/>
          <w:sz w:val="32"/>
          <w:szCs w:val="32"/>
        </w:rPr>
      </w:r>
    </w:p>
    <w:p>
      <w:pPr>
        <w:pStyle w:val="Normal"/>
        <w:rPr>
          <w:rFonts w:ascii="Foco" w:hAnsi="Foco" w:cs="Foco"/>
          <w:b/>
          <w:b/>
          <w:color w:val="961639"/>
          <w:sz w:val="32"/>
          <w:szCs w:val="32"/>
        </w:rPr>
      </w:pPr>
      <w:r>
        <w:rPr>
          <w:rFonts w:cs="Foco" w:ascii="Foco" w:hAnsi="Foco"/>
          <w:b/>
          <w:color w:val="961639"/>
          <w:sz w:val="32"/>
          <w:szCs w:val="32"/>
        </w:rPr>
      </w:r>
    </w:p>
    <w:p>
      <w:pPr>
        <w:pStyle w:val="Normal"/>
        <w:rPr>
          <w:rFonts w:ascii="Foco" w:hAnsi="Foco" w:cs="Foco"/>
          <w:b/>
          <w:b/>
          <w:color w:val="961639"/>
          <w:sz w:val="32"/>
          <w:szCs w:val="32"/>
        </w:rPr>
      </w:pPr>
      <w:r>
        <w:rPr>
          <w:rFonts w:cs="Foco" w:ascii="Foco" w:hAnsi="Foco"/>
          <w:b/>
          <w:color w:val="961639"/>
          <w:sz w:val="32"/>
          <w:szCs w:val="32"/>
        </w:rPr>
      </w:r>
    </w:p>
    <w:p>
      <w:pPr>
        <w:pStyle w:val="Normal"/>
        <w:rPr>
          <w:rFonts w:ascii="Foco" w:hAnsi="Foco" w:cs="Foco"/>
          <w:b/>
          <w:b/>
          <w:color w:val="961639"/>
          <w:sz w:val="32"/>
          <w:szCs w:val="32"/>
        </w:rPr>
      </w:pPr>
      <w:r>
        <w:rPr>
          <w:rFonts w:cs="Foco" w:ascii="Foco" w:hAnsi="Foco"/>
          <w:b/>
          <w:color w:val="961639"/>
          <w:sz w:val="32"/>
          <w:szCs w:val="32"/>
        </w:rPr>
        <w:t xml:space="preserve">PERSON SPECIFICATION </w:t>
      </w:r>
    </w:p>
    <w:p>
      <w:pPr>
        <w:pStyle w:val="Normal"/>
        <w:rPr/>
      </w:pPr>
      <w:r>
        <w:rPr>
          <w:rFonts w:cs="Foco" w:ascii="Foco" w:hAnsi="Foco"/>
          <w:b/>
        </w:rPr>
        <w:t>Job Title:</w:t>
      </w:r>
      <w:r>
        <w:rPr>
          <w:rFonts w:cs="Foco" w:ascii="Foco" w:hAnsi="Foco"/>
        </w:rPr>
        <w:t xml:space="preserve"> </w:t>
      </w:r>
      <w:r>
        <w:rPr>
          <w:rFonts w:cs="Foco" w:ascii="Foco" w:hAnsi="Foco"/>
          <w:b/>
          <w:color w:val="000000"/>
        </w:rPr>
        <w:t>Casual Exam Invigilator</w:t>
      </w:r>
    </w:p>
    <w:tbl>
      <w:tblPr>
        <w:tblW w:w="9026" w:type="dxa"/>
        <w:jc w:val="left"/>
        <w:tblInd w:w="0" w:type="dxa"/>
        <w:tblCellMar>
          <w:top w:w="0" w:type="dxa"/>
          <w:left w:w="108" w:type="dxa"/>
          <w:bottom w:w="0" w:type="dxa"/>
          <w:right w:w="108" w:type="dxa"/>
        </w:tblCellMar>
      </w:tblPr>
      <w:tblGrid>
        <w:gridCol w:w="6091"/>
        <w:gridCol w:w="1416"/>
        <w:gridCol w:w="1519"/>
      </w:tblGrid>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b/>
                <w:b/>
              </w:rPr>
            </w:pPr>
            <w:r>
              <w:rPr>
                <w:rFonts w:cs="Foco" w:ascii="Foco" w:hAnsi="Foco"/>
                <w:b/>
              </w:rPr>
              <w:t>Qualifications and training</w:t>
            </w:r>
          </w:p>
        </w:tc>
        <w:tc>
          <w:tcPr>
            <w:tcW w:w="1416"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b/>
                <w:b/>
              </w:rPr>
            </w:pPr>
            <w:r>
              <w:rPr>
                <w:rFonts w:cs="Foco" w:ascii="Foco" w:hAnsi="Foco"/>
                <w:b/>
              </w:rPr>
              <w:t>Essential</w:t>
            </w:r>
          </w:p>
        </w:tc>
        <w:tc>
          <w:tcPr>
            <w:tcW w:w="151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Foco" w:hAnsi="Foco" w:cs="Foco"/>
                <w:b/>
                <w:b/>
              </w:rPr>
            </w:pPr>
            <w:r>
              <w:rPr>
                <w:rFonts w:cs="Foco" w:ascii="Foco" w:hAnsi="Foco"/>
                <w:b/>
              </w:rPr>
              <w:t>Desirable</w:t>
            </w:r>
          </w:p>
        </w:tc>
      </w:tr>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rPr>
            </w:pPr>
            <w:r>
              <w:rPr>
                <w:rFonts w:cs="Foco" w:ascii="Foco" w:hAnsi="Foco"/>
              </w:rPr>
              <w:t>Level 2 or higher in English/Literacy &amp; Maths</w:t>
            </w:r>
          </w:p>
        </w:tc>
        <w:tc>
          <w:tcPr>
            <w:tcW w:w="1416"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5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jc w:val="center"/>
              <w:rPr>
                <w:rFonts w:ascii="Foco" w:hAnsi="Foco" w:cs="Foco"/>
                <w:b/>
                <w:b/>
              </w:rPr>
            </w:pPr>
            <w:r>
              <w:rPr>
                <w:rFonts w:cs="Foco" w:ascii="Foco" w:hAnsi="Foco"/>
                <w:b/>
              </w:rPr>
            </w:r>
          </w:p>
        </w:tc>
      </w:tr>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rPr>
            </w:pPr>
            <w:r>
              <w:rPr>
                <w:rFonts w:cs="Foco" w:ascii="Foco" w:hAnsi="Foco"/>
              </w:rPr>
              <w:t>Active in continuing professional development</w:t>
            </w:r>
          </w:p>
        </w:tc>
        <w:tc>
          <w:tcPr>
            <w:tcW w:w="1416"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rFonts w:ascii="Foco" w:hAnsi="Foco" w:cs="Foco"/>
                <w:b/>
                <w:b/>
              </w:rPr>
            </w:pPr>
            <w:r>
              <w:rPr>
                <w:rFonts w:cs="Foco" w:ascii="Foco" w:hAnsi="Foco"/>
                <w:b/>
              </w:rPr>
            </w:r>
          </w:p>
        </w:tc>
        <w:tc>
          <w:tcPr>
            <w:tcW w:w="15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bl>
    <w:p>
      <w:pPr>
        <w:pStyle w:val="Normal"/>
        <w:rPr>
          <w:rFonts w:ascii="Foco" w:hAnsi="Foco" w:cs="Foco"/>
        </w:rPr>
      </w:pPr>
      <w:r>
        <w:rPr>
          <w:rFonts w:cs="Foco" w:ascii="Foco" w:hAnsi="Foco"/>
        </w:rPr>
      </w:r>
    </w:p>
    <w:tbl>
      <w:tblPr>
        <w:tblW w:w="9026" w:type="dxa"/>
        <w:jc w:val="left"/>
        <w:tblInd w:w="0" w:type="dxa"/>
        <w:tblCellMar>
          <w:top w:w="0" w:type="dxa"/>
          <w:left w:w="108" w:type="dxa"/>
          <w:bottom w:w="0" w:type="dxa"/>
          <w:right w:w="108" w:type="dxa"/>
        </w:tblCellMar>
      </w:tblPr>
      <w:tblGrid>
        <w:gridCol w:w="6091"/>
        <w:gridCol w:w="1416"/>
        <w:gridCol w:w="1519"/>
      </w:tblGrid>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b/>
                <w:b/>
              </w:rPr>
            </w:pPr>
            <w:r>
              <w:rPr>
                <w:rFonts w:cs="Foco" w:ascii="Foco" w:hAnsi="Foco"/>
                <w:b/>
              </w:rPr>
              <w:t>Experience, knowledge, and skills</w:t>
            </w:r>
          </w:p>
        </w:tc>
        <w:tc>
          <w:tcPr>
            <w:tcW w:w="1416"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b/>
                <w:b/>
              </w:rPr>
            </w:pPr>
            <w:r>
              <w:rPr>
                <w:rFonts w:cs="Foco" w:ascii="Foco" w:hAnsi="Foco"/>
                <w:b/>
              </w:rPr>
              <w:t>Essential</w:t>
            </w:r>
          </w:p>
        </w:tc>
        <w:tc>
          <w:tcPr>
            <w:tcW w:w="151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Foco" w:hAnsi="Foco" w:cs="Foco"/>
                <w:b/>
                <w:b/>
              </w:rPr>
            </w:pPr>
            <w:r>
              <w:rPr>
                <w:rFonts w:cs="Foco" w:ascii="Foco" w:hAnsi="Foco"/>
                <w:b/>
              </w:rPr>
              <w:t>Desirable</w:t>
            </w:r>
          </w:p>
        </w:tc>
      </w:tr>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rPr>
            </w:pPr>
            <w:r>
              <w:rPr>
                <w:rFonts w:cs="Foco" w:ascii="Foco" w:hAnsi="Foco"/>
              </w:rPr>
              <w:t>Experience of working with young people</w:t>
            </w:r>
          </w:p>
        </w:tc>
        <w:tc>
          <w:tcPr>
            <w:tcW w:w="1416"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5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jc w:val="center"/>
              <w:rPr>
                <w:rFonts w:ascii="Foco" w:hAnsi="Foco" w:cs="Foco"/>
                <w:b/>
                <w:b/>
              </w:rPr>
            </w:pPr>
            <w:r>
              <w:rPr>
                <w:rFonts w:cs="Foco" w:ascii="Foco" w:hAnsi="Foco"/>
                <w:b/>
              </w:rPr>
            </w:r>
          </w:p>
        </w:tc>
      </w:tr>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rPr>
            </w:pPr>
            <w:r>
              <w:rPr>
                <w:rFonts w:cs="Foco" w:ascii="Foco" w:hAnsi="Foco"/>
              </w:rPr>
              <w:t>Experience of working under pressure and to tight deadlines</w:t>
            </w:r>
          </w:p>
        </w:tc>
        <w:tc>
          <w:tcPr>
            <w:tcW w:w="1416"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5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jc w:val="center"/>
              <w:rPr>
                <w:rFonts w:ascii="Foco" w:hAnsi="Foco" w:cs="Foco"/>
                <w:b/>
                <w:b/>
              </w:rPr>
            </w:pPr>
            <w:r>
              <w:rPr>
                <w:rFonts w:cs="Foco" w:ascii="Foco" w:hAnsi="Foco"/>
                <w:b/>
              </w:rPr>
            </w:r>
          </w:p>
        </w:tc>
      </w:tr>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rPr>
            </w:pPr>
            <w:r>
              <w:rPr>
                <w:rFonts w:cs="Foco" w:ascii="Foco" w:hAnsi="Foco"/>
              </w:rPr>
              <w:t>Good organisational and administrative skills</w:t>
            </w:r>
          </w:p>
        </w:tc>
        <w:tc>
          <w:tcPr>
            <w:tcW w:w="1416"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5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jc w:val="center"/>
              <w:rPr>
                <w:rFonts w:ascii="Foco" w:hAnsi="Foco" w:cs="Foco"/>
                <w:b/>
                <w:b/>
              </w:rPr>
            </w:pPr>
            <w:r>
              <w:rPr>
                <w:rFonts w:cs="Foco" w:ascii="Foco" w:hAnsi="Foco"/>
                <w:b/>
              </w:rPr>
            </w:r>
          </w:p>
        </w:tc>
      </w:tr>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rPr>
            </w:pPr>
            <w:r>
              <w:rPr>
                <w:rFonts w:cs="Foco" w:ascii="Foco" w:hAnsi="Foco"/>
              </w:rPr>
              <w:t>Willingness to participate in relevant training and development opportunities</w:t>
            </w:r>
          </w:p>
        </w:tc>
        <w:tc>
          <w:tcPr>
            <w:tcW w:w="1416"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5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jc w:val="center"/>
              <w:rPr>
                <w:rFonts w:ascii="Foco" w:hAnsi="Foco" w:cs="Foco"/>
              </w:rPr>
            </w:pPr>
            <w:r>
              <w:rPr>
                <w:rFonts w:cs="Foco" w:ascii="Foco" w:hAnsi="Foco"/>
              </w:rPr>
            </w:r>
          </w:p>
        </w:tc>
      </w:tr>
    </w:tbl>
    <w:p>
      <w:pPr>
        <w:pStyle w:val="Normal"/>
        <w:rPr>
          <w:rFonts w:ascii="Foco" w:hAnsi="Foco" w:cs="Foco"/>
        </w:rPr>
      </w:pPr>
      <w:r>
        <w:rPr>
          <w:rFonts w:cs="Foco" w:ascii="Foco" w:hAnsi="Foco"/>
        </w:rPr>
      </w:r>
    </w:p>
    <w:tbl>
      <w:tblPr>
        <w:tblW w:w="9026" w:type="dxa"/>
        <w:jc w:val="left"/>
        <w:tblInd w:w="0" w:type="dxa"/>
        <w:tblCellMar>
          <w:top w:w="0" w:type="dxa"/>
          <w:left w:w="108" w:type="dxa"/>
          <w:bottom w:w="0" w:type="dxa"/>
          <w:right w:w="108" w:type="dxa"/>
        </w:tblCellMar>
      </w:tblPr>
      <w:tblGrid>
        <w:gridCol w:w="6091"/>
        <w:gridCol w:w="1416"/>
        <w:gridCol w:w="1519"/>
      </w:tblGrid>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b/>
                <w:b/>
              </w:rPr>
            </w:pPr>
            <w:r>
              <w:rPr>
                <w:rFonts w:cs="Foco" w:ascii="Foco" w:hAnsi="Foco"/>
                <w:b/>
              </w:rPr>
              <w:t>Personal attributes</w:t>
            </w:r>
          </w:p>
        </w:tc>
        <w:tc>
          <w:tcPr>
            <w:tcW w:w="1416"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b/>
                <w:b/>
              </w:rPr>
            </w:pPr>
            <w:r>
              <w:rPr>
                <w:rFonts w:cs="Foco" w:ascii="Foco" w:hAnsi="Foco"/>
                <w:b/>
              </w:rPr>
              <w:t>Essential</w:t>
            </w:r>
          </w:p>
        </w:tc>
        <w:tc>
          <w:tcPr>
            <w:tcW w:w="151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Foco" w:hAnsi="Foco" w:cs="Foco"/>
                <w:b/>
                <w:b/>
              </w:rPr>
            </w:pPr>
            <w:r>
              <w:rPr>
                <w:rFonts w:cs="Foco" w:ascii="Foco" w:hAnsi="Foco"/>
                <w:b/>
              </w:rPr>
              <w:t>Desirable</w:t>
            </w:r>
          </w:p>
        </w:tc>
      </w:tr>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rPr>
            </w:pPr>
            <w:r>
              <w:rPr>
                <w:rFonts w:cs="Foco" w:ascii="Foco" w:hAnsi="Foco"/>
              </w:rPr>
              <w:t>Speaks confidently</w:t>
            </w:r>
          </w:p>
        </w:tc>
        <w:tc>
          <w:tcPr>
            <w:tcW w:w="1416"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51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jc w:val="center"/>
              <w:rPr>
                <w:rFonts w:ascii="Foco" w:hAnsi="Foco" w:cs="Foco"/>
              </w:rPr>
            </w:pPr>
            <w:r>
              <w:rPr>
                <w:rFonts w:cs="Foco" w:ascii="Foco" w:hAnsi="Foco"/>
              </w:rPr>
            </w:r>
          </w:p>
        </w:tc>
      </w:tr>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rPr>
            </w:pPr>
            <w:r>
              <w:rPr>
                <w:rFonts w:cs="Foco" w:ascii="Foco" w:hAnsi="Foco"/>
              </w:rPr>
              <w:t>Ability to remain calm under pressure</w:t>
            </w:r>
          </w:p>
        </w:tc>
        <w:tc>
          <w:tcPr>
            <w:tcW w:w="1416"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51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jc w:val="center"/>
              <w:rPr>
                <w:rFonts w:ascii="Foco" w:hAnsi="Foco" w:cs="Foco"/>
              </w:rPr>
            </w:pPr>
            <w:r>
              <w:rPr>
                <w:rFonts w:cs="Foco" w:ascii="Foco" w:hAnsi="Foco"/>
              </w:rPr>
            </w:r>
          </w:p>
        </w:tc>
      </w:tr>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ind w:left="0" w:right="175" w:hanging="0"/>
              <w:rPr>
                <w:rFonts w:ascii="Foco" w:hAnsi="Foco" w:cs="Foco"/>
              </w:rPr>
            </w:pPr>
            <w:r>
              <w:rPr>
                <w:rFonts w:cs="Foco" w:ascii="Foco" w:hAnsi="Foco"/>
              </w:rPr>
              <w:t>Ability to communicate across all levels</w:t>
            </w:r>
          </w:p>
        </w:tc>
        <w:tc>
          <w:tcPr>
            <w:tcW w:w="1416"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51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jc w:val="center"/>
              <w:rPr>
                <w:rFonts w:ascii="Foco" w:hAnsi="Foco" w:cs="Foco"/>
              </w:rPr>
            </w:pPr>
            <w:r>
              <w:rPr>
                <w:rFonts w:cs="Foco" w:ascii="Foco" w:hAnsi="Foco"/>
              </w:rPr>
            </w:r>
          </w:p>
        </w:tc>
      </w:tr>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rPr>
            </w:pPr>
            <w:r>
              <w:rPr>
                <w:rFonts w:cs="Foco" w:ascii="Foco" w:hAnsi="Foco"/>
              </w:rPr>
              <w:t>Ability to enthuse young people</w:t>
            </w:r>
          </w:p>
        </w:tc>
        <w:tc>
          <w:tcPr>
            <w:tcW w:w="1416"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51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jc w:val="center"/>
              <w:rPr>
                <w:rFonts w:ascii="Foco" w:hAnsi="Foco" w:cs="Foco"/>
              </w:rPr>
            </w:pPr>
            <w:r>
              <w:rPr>
                <w:rFonts w:cs="Foco" w:ascii="Foco" w:hAnsi="Foco"/>
              </w:rPr>
            </w:r>
          </w:p>
        </w:tc>
      </w:tr>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rPr>
            </w:pPr>
            <w:r>
              <w:rPr>
                <w:rFonts w:cs="Foco" w:ascii="Foco" w:hAnsi="Foco"/>
              </w:rPr>
              <w:t>Ability to build and maintain effective working relationships</w:t>
            </w:r>
          </w:p>
        </w:tc>
        <w:tc>
          <w:tcPr>
            <w:tcW w:w="1416"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51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jc w:val="center"/>
              <w:rPr>
                <w:rFonts w:ascii="Foco" w:hAnsi="Foco" w:cs="Foco"/>
              </w:rPr>
            </w:pPr>
            <w:r>
              <w:rPr>
                <w:rFonts w:cs="Foco" w:ascii="Foco" w:hAnsi="Foco"/>
              </w:rPr>
            </w:r>
          </w:p>
        </w:tc>
      </w:tr>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rPr>
            </w:pPr>
            <w:r>
              <w:rPr>
                <w:rFonts w:cs="Foco" w:ascii="Foco" w:hAnsi="Foco"/>
              </w:rPr>
              <w:t>Flexible and resilient</w:t>
            </w:r>
          </w:p>
        </w:tc>
        <w:tc>
          <w:tcPr>
            <w:tcW w:w="1416"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51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jc w:val="center"/>
              <w:rPr>
                <w:rFonts w:ascii="Foco" w:hAnsi="Foco" w:cs="Foco"/>
              </w:rPr>
            </w:pPr>
            <w:r>
              <w:rPr>
                <w:rFonts w:cs="Foco" w:ascii="Foco" w:hAnsi="Foco"/>
              </w:rPr>
            </w:r>
          </w:p>
        </w:tc>
      </w:tr>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rPr>
            </w:pPr>
            <w:r>
              <w:rPr>
                <w:rFonts w:cs="Foco" w:ascii="Foco" w:hAnsi="Foco"/>
              </w:rPr>
              <w:t>Reliable and good attender</w:t>
            </w:r>
          </w:p>
        </w:tc>
        <w:tc>
          <w:tcPr>
            <w:tcW w:w="1416"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51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jc w:val="center"/>
              <w:rPr>
                <w:rFonts w:ascii="Foco" w:hAnsi="Foco" w:cs="Foco"/>
              </w:rPr>
            </w:pPr>
            <w:r>
              <w:rPr>
                <w:rFonts w:cs="Foco" w:ascii="Foco" w:hAnsi="Foco"/>
              </w:rPr>
            </w:r>
          </w:p>
        </w:tc>
      </w:tr>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rPr>
            </w:pPr>
            <w:r>
              <w:rPr>
                <w:rFonts w:cs="Foco" w:ascii="Foco" w:hAnsi="Foco"/>
              </w:rPr>
              <w:t>Effective team player</w:t>
            </w:r>
          </w:p>
        </w:tc>
        <w:tc>
          <w:tcPr>
            <w:tcW w:w="1416"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51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jc w:val="center"/>
              <w:rPr>
                <w:rFonts w:ascii="Foco" w:hAnsi="Foco" w:cs="Foco"/>
              </w:rPr>
            </w:pPr>
            <w:r>
              <w:rPr>
                <w:rFonts w:cs="Foco" w:ascii="Foco" w:hAnsi="Foco"/>
              </w:rPr>
            </w:r>
          </w:p>
        </w:tc>
      </w:tr>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rPr>
            </w:pPr>
            <w:r>
              <w:rPr>
                <w:rFonts w:cs="Foco" w:ascii="Foco" w:hAnsi="Foco"/>
              </w:rPr>
              <w:t>Smart appearance</w:t>
            </w:r>
          </w:p>
        </w:tc>
        <w:tc>
          <w:tcPr>
            <w:tcW w:w="1416"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51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jc w:val="center"/>
              <w:rPr>
                <w:rFonts w:ascii="Foco" w:hAnsi="Foco" w:cs="Foco"/>
              </w:rPr>
            </w:pPr>
            <w:r>
              <w:rPr>
                <w:rFonts w:cs="Foco" w:ascii="Foco" w:hAnsi="Foco"/>
              </w:rPr>
            </w:r>
          </w:p>
        </w:tc>
      </w:tr>
    </w:tbl>
    <w:p>
      <w:pPr>
        <w:pStyle w:val="Normal"/>
        <w:rPr>
          <w:rFonts w:ascii="Foco" w:hAnsi="Foco" w:cs="Foco"/>
        </w:rPr>
      </w:pPr>
      <w:r>
        <w:rPr>
          <w:rFonts w:cs="Foco" w:ascii="Foco" w:hAnsi="Foco"/>
        </w:rPr>
      </w:r>
    </w:p>
    <w:tbl>
      <w:tblPr>
        <w:tblW w:w="9026" w:type="dxa"/>
        <w:jc w:val="left"/>
        <w:tblInd w:w="0" w:type="dxa"/>
        <w:tblCellMar>
          <w:top w:w="0" w:type="dxa"/>
          <w:left w:w="108" w:type="dxa"/>
          <w:bottom w:w="0" w:type="dxa"/>
          <w:right w:w="108" w:type="dxa"/>
        </w:tblCellMar>
      </w:tblPr>
      <w:tblGrid>
        <w:gridCol w:w="6091"/>
        <w:gridCol w:w="1416"/>
        <w:gridCol w:w="1519"/>
      </w:tblGrid>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b/>
                <w:b/>
              </w:rPr>
            </w:pPr>
            <w:r>
              <w:rPr>
                <w:rFonts w:cs="Foco" w:ascii="Foco" w:hAnsi="Foco"/>
                <w:b/>
              </w:rPr>
              <w:t xml:space="preserve">Special requirements </w:t>
            </w:r>
          </w:p>
        </w:tc>
        <w:tc>
          <w:tcPr>
            <w:tcW w:w="1416"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b/>
                <w:b/>
              </w:rPr>
            </w:pPr>
            <w:r>
              <w:rPr>
                <w:rFonts w:cs="Foco" w:ascii="Foco" w:hAnsi="Foco"/>
                <w:b/>
              </w:rPr>
              <w:t>Essential</w:t>
            </w:r>
          </w:p>
        </w:tc>
        <w:tc>
          <w:tcPr>
            <w:tcW w:w="151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Foco" w:hAnsi="Foco" w:cs="Foco"/>
                <w:b/>
                <w:b/>
              </w:rPr>
            </w:pPr>
            <w:r>
              <w:rPr>
                <w:rFonts w:cs="Foco" w:ascii="Foco" w:hAnsi="Foco"/>
                <w:b/>
              </w:rPr>
              <w:t>Desirable</w:t>
            </w:r>
          </w:p>
        </w:tc>
      </w:tr>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rPr>
            </w:pPr>
            <w:r>
              <w:rPr>
                <w:rFonts w:cs="Foco" w:ascii="Foco" w:hAnsi="Foco"/>
              </w:rPr>
              <w:t>Satisfactory enhanced DBS certificate</w:t>
            </w:r>
          </w:p>
        </w:tc>
        <w:tc>
          <w:tcPr>
            <w:tcW w:w="1416"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5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jc w:val="center"/>
              <w:rPr>
                <w:rFonts w:ascii="Foco" w:hAnsi="Foco" w:cs="Foco"/>
              </w:rPr>
            </w:pPr>
            <w:r>
              <w:rPr>
                <w:rFonts w:cs="Foco" w:ascii="Foco" w:hAnsi="Foco"/>
              </w:rPr>
            </w:r>
          </w:p>
        </w:tc>
      </w:tr>
      <w:tr>
        <w:trPr/>
        <w:tc>
          <w:tcPr>
            <w:tcW w:w="6091" w:type="dxa"/>
            <w:tcBorders>
              <w:top w:val="single" w:sz="4" w:space="0" w:color="000000"/>
              <w:left w:val="single" w:sz="4" w:space="0" w:color="000000"/>
              <w:bottom w:val="single" w:sz="4" w:space="0" w:color="000000"/>
            </w:tcBorders>
            <w:shd w:fill="auto" w:val="clear"/>
          </w:tcPr>
          <w:p>
            <w:pPr>
              <w:pStyle w:val="Normal"/>
              <w:tabs>
                <w:tab w:val="clear" w:pos="720"/>
                <w:tab w:val="left" w:pos="1335" w:leader="none"/>
              </w:tabs>
              <w:spacing w:lineRule="auto" w:line="240" w:before="0" w:after="0"/>
              <w:rPr>
                <w:rFonts w:ascii="Foco" w:hAnsi="Foco" w:cs="Foco"/>
              </w:rPr>
            </w:pPr>
            <w:r>
              <w:rPr>
                <w:rFonts w:cs="Foco" w:ascii="Foco" w:hAnsi="Foco"/>
              </w:rPr>
              <w:t>Medical clearance</w:t>
            </w:r>
          </w:p>
        </w:tc>
        <w:tc>
          <w:tcPr>
            <w:tcW w:w="1416"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5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jc w:val="center"/>
              <w:rPr>
                <w:rFonts w:ascii="Foco" w:hAnsi="Foco" w:cs="Foco"/>
              </w:rPr>
            </w:pPr>
            <w:r>
              <w:rPr>
                <w:rFonts w:cs="Foco" w:ascii="Foco" w:hAnsi="Foco"/>
              </w:rPr>
            </w:r>
          </w:p>
        </w:tc>
      </w:tr>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rPr>
            </w:pPr>
            <w:r>
              <w:rPr>
                <w:rFonts w:cs="Foco" w:ascii="Foco" w:hAnsi="Foco"/>
              </w:rPr>
              <w:t>Two satisfactory references</w:t>
            </w:r>
          </w:p>
        </w:tc>
        <w:tc>
          <w:tcPr>
            <w:tcW w:w="1416"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5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jc w:val="center"/>
              <w:rPr>
                <w:rFonts w:ascii="Foco" w:hAnsi="Foco" w:cs="Foco"/>
              </w:rPr>
            </w:pPr>
            <w:r>
              <w:rPr>
                <w:rFonts w:cs="Foco" w:ascii="Foco" w:hAnsi="Foco"/>
              </w:rPr>
            </w:r>
          </w:p>
        </w:tc>
      </w:tr>
      <w:tr>
        <w:trPr/>
        <w:tc>
          <w:tcPr>
            <w:tcW w:w="60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Foco" w:hAnsi="Foco" w:cs="Foco"/>
              </w:rPr>
            </w:pPr>
            <w:r>
              <w:rPr>
                <w:rFonts w:cs="Foco" w:ascii="Foco" w:hAnsi="Foco"/>
              </w:rPr>
              <w:t>Full UK driving license and access to a car during working hours</w:t>
            </w:r>
          </w:p>
        </w:tc>
        <w:tc>
          <w:tcPr>
            <w:tcW w:w="1416"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rFonts w:ascii="Foco" w:hAnsi="Foco" w:cs="Foco"/>
              </w:rPr>
            </w:pPr>
            <w:r>
              <w:rPr>
                <w:rFonts w:cs="Foco" w:ascii="Foco" w:hAnsi="Foco"/>
              </w:rPr>
            </w:r>
          </w:p>
        </w:tc>
        <w:tc>
          <w:tcPr>
            <w:tcW w:w="15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bl>
    <w:p>
      <w:pPr>
        <w:pStyle w:val="Normal"/>
        <w:rPr>
          <w:rFonts w:ascii="Foco" w:hAnsi="Foco" w:cs="Foco"/>
        </w:rPr>
      </w:pPr>
      <w:r>
        <w:rPr>
          <w:rFonts w:cs="Foco" w:ascii="Foco" w:hAnsi="Foco"/>
        </w:rPr>
      </w:r>
    </w:p>
    <w:p>
      <w:pPr>
        <w:pStyle w:val="Normal"/>
        <w:jc w:val="both"/>
        <w:rPr>
          <w:rFonts w:ascii="Foco" w:hAnsi="Foco" w:cs="Foco"/>
        </w:rPr>
      </w:pPr>
      <w:r>
        <w:rPr>
          <w:rFonts w:cs="Foco" w:ascii="Foco" w:hAnsi="Foco"/>
        </w:rPr>
        <w:t xml:space="preserve">The Trust is committed to safer recruitment practice and pre-employment checks will be undertaken before any appointment is confirmed.  This post is subject to an enhanced disclosure from the Disclosure and Barring Service (DBS). The school is committed to safeguarding and promoting the welfare of children and young people and it expects staff and volunteers to share this commitment. </w:t>
      </w:r>
    </w:p>
    <w:p>
      <w:pPr>
        <w:pStyle w:val="Normal"/>
        <w:spacing w:before="0" w:after="160"/>
        <w:rPr/>
      </w:pPr>
      <w:r>
        <w:rPr/>
      </w:r>
    </w:p>
    <w:sectPr>
      <w:headerReference w:type="default" r:id="rId2"/>
      <w:type w:val="nextPage"/>
      <w:pgSz w:w="11906" w:h="16838"/>
      <w:pgMar w:left="1440" w:right="1440" w:header="708"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Foco">
    <w:charset w:val="00"/>
    <w:family w:val="roman"/>
    <w:pitch w:val="variable"/>
  </w:font>
  <w:font w:name="Century Gothic">
    <w:charset w:val="00"/>
    <w:family w:val="roman"/>
    <w:pitch w:val="variable"/>
  </w:font>
  <w:font w:name="Wingdings">
    <w:charset w:val="02"/>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1" distT="0" distB="0" distL="0" distR="0" simplePos="0" locked="0" layoutInCell="1" allowOverlap="1" relativeHeight="4">
          <wp:simplePos x="0" y="0"/>
          <wp:positionH relativeFrom="column">
            <wp:posOffset>3095625</wp:posOffset>
          </wp:positionH>
          <wp:positionV relativeFrom="paragraph">
            <wp:posOffset>-76835</wp:posOffset>
          </wp:positionV>
          <wp:extent cx="3143885" cy="37147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42" r="-5" b="-42"/>
                  <a:stretch>
                    <a:fillRect/>
                  </a:stretch>
                </pic:blipFill>
                <pic:spPr bwMode="auto">
                  <a:xfrm>
                    <a:off x="0" y="0"/>
                    <a:ext cx="3143885" cy="37147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paragraph" w:styleId="Heading1">
    <w:name w:val="Heading 1"/>
    <w:basedOn w:val="Normal"/>
    <w:next w:val="Normal"/>
    <w:qFormat/>
    <w:pPr>
      <w:keepNext w:val="true"/>
      <w:numPr>
        <w:ilvl w:val="0"/>
        <w:numId w:val="1"/>
      </w:numPr>
      <w:spacing w:lineRule="auto" w:line="240" w:before="0" w:after="0"/>
      <w:jc w:val="both"/>
      <w:outlineLvl w:val="0"/>
    </w:pPr>
    <w:rPr>
      <w:rFonts w:ascii="Times New Roman" w:hAnsi="Times New Roman" w:eastAsia="Times New Roman" w:cs="Times New Roman"/>
      <w:b/>
      <w:sz w:val="24"/>
      <w:szCs w:val="2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Heading1Char">
    <w:name w:val="Heading 1 Char"/>
    <w:basedOn w:val="DefaultParagraphFont"/>
    <w:qFormat/>
    <w:rPr>
      <w:rFonts w:ascii="Times New Roman" w:hAnsi="Times New Roman" w:eastAsia="Times New Roman" w:cs="Times New Roman"/>
      <w:b/>
      <w:sz w:val="24"/>
      <w:szCs w:val="20"/>
    </w:rPr>
  </w:style>
  <w:style w:type="character" w:styleId="HeaderChar">
    <w:name w:val="Header Char"/>
    <w:basedOn w:val="DefaultParagraphFont"/>
    <w:qFormat/>
    <w:rPr/>
  </w:style>
  <w:style w:type="character" w:styleId="FooterChar">
    <w:name w:val="Footer Char"/>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Default">
    <w:name w:val="Default"/>
    <w:qFormat/>
    <w:pPr>
      <w:widowControl/>
      <w:suppressAutoHyphens w:val="true"/>
      <w:bidi w:val="0"/>
      <w:spacing w:lineRule="auto" w:line="240" w:before="0" w:after="0"/>
      <w:jc w:val="left"/>
    </w:pPr>
    <w:rPr>
      <w:rFonts w:ascii="Calibri" w:hAnsi="Calibri" w:eastAsia="Times New Roman" w:cs="Calibri"/>
      <w:color w:val="000000"/>
      <w:kern w:val="0"/>
      <w:sz w:val="24"/>
      <w:szCs w:val="24"/>
      <w:lang w:val="en-GB" w:eastAsia="en-GB"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Template>
  <TotalTime>3</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