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b/>
          <w:b/>
        </w:rPr>
      </w:pPr>
      <w:r>
        <w:rPr>
          <w:rFonts w:cs="Arial"/>
          <w:b/>
        </w:rPr>
        <mc:AlternateContent>
          <mc:Choice Requires="wps">
            <w:drawing>
              <wp:anchor behindDoc="0" distT="0" distB="0" distL="114935" distR="114935" simplePos="0" locked="0" layoutInCell="1" allowOverlap="1" relativeHeight="2">
                <wp:simplePos x="0" y="0"/>
                <wp:positionH relativeFrom="column">
                  <wp:posOffset>4470400</wp:posOffset>
                </wp:positionH>
                <wp:positionV relativeFrom="paragraph">
                  <wp:posOffset>-113030</wp:posOffset>
                </wp:positionV>
                <wp:extent cx="1744345" cy="868045"/>
                <wp:effectExtent l="0" t="0" r="0" b="0"/>
                <wp:wrapSquare wrapText="bothSides"/>
                <wp:docPr id="1" name="Text Box 2"/>
                <a:graphic xmlns:a="http://schemas.openxmlformats.org/drawingml/2006/main">
                  <a:graphicData uri="http://schemas.microsoft.com/office/word/2010/wordprocessingShape">
                    <wps:wsp>
                      <wps:cNvSpPr/>
                      <wps:spPr>
                        <a:xfrm>
                          <a:off x="0" y="0"/>
                          <a:ext cx="1743840" cy="86724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52pt;margin-top:-8.9pt;width:137.25pt;height:68.25pt">
                <w10:wrap type="none"/>
                <v:fill o:detectmouseclick="t" type="solid" color2="black"/>
                <v:stroke color="#3465a4" joinstyle="round" endcap="flat"/>
              </v:rect>
            </w:pict>
          </mc:Fallback>
        </mc:AlternateContent>
      </w:r>
      <w:r>
        <mc:AlternateContent>
          <mc:Choice Requires="wps">
            <w:drawing>
              <wp:anchor behindDoc="0" distT="72390" distB="72390" distL="117475" distR="114300" simplePos="0" locked="0" layoutInCell="1" allowOverlap="1" relativeHeight="6">
                <wp:simplePos x="0" y="0"/>
                <wp:positionH relativeFrom="column">
                  <wp:posOffset>4470400</wp:posOffset>
                </wp:positionH>
                <wp:positionV relativeFrom="paragraph">
                  <wp:posOffset>-113030</wp:posOffset>
                </wp:positionV>
                <wp:extent cx="1743710" cy="776605"/>
                <wp:effectExtent l="0" t="0" r="0" b="0"/>
                <wp:wrapNone/>
                <wp:docPr id="2" name="Frame1"/>
                <a:graphic xmlns:a="http://schemas.openxmlformats.org/drawingml/2006/main">
                  <a:graphicData uri="http://schemas.microsoft.com/office/word/2010/wordprocessingShape">
                    <wps:wsp>
                      <wps:cNvSpPr txBox="1"/>
                      <wps:spPr>
                        <a:xfrm>
                          <a:off x="0" y="0"/>
                          <a:ext cx="1743710" cy="776605"/>
                        </a:xfrm>
                        <a:prstGeom prst="rect"/>
                        <a:solidFill>
                          <a:srgbClr val="FFFFFF"/>
                        </a:solidFill>
                      </wps:spPr>
                      <wps:txbx>
                        <w:txbxContent>
                          <w:p>
                            <w:pPr>
                              <w:pStyle w:val="FrameContents"/>
                              <w:rPr/>
                            </w:pPr>
                            <w:r>
                              <w:rPr/>
                              <w:drawing>
                                <wp:inline distT="0" distB="0" distL="0" distR="0">
                                  <wp:extent cx="1561465" cy="68580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23" t="-52" r="-23" b="-52"/>
                                          <a:stretch>
                                            <a:fillRect/>
                                          </a:stretch>
                                        </pic:blipFill>
                                        <pic:spPr bwMode="auto">
                                          <a:xfrm>
                                            <a:off x="0" y="0"/>
                                            <a:ext cx="1561465" cy="68580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37.3pt;height:61.15pt;mso-wrap-distance-left:9.25pt;mso-wrap-distance-right:9pt;mso-wrap-distance-top:5.7pt;mso-wrap-distance-bottom:5.7pt;margin-top:-8.9pt;mso-position-vertical-relative:text;margin-left:352pt;mso-position-horizontal-relative:text">
                <v:textbox inset="0.100694444444444in,0.0506944444444444in,0.100694444444444in,0.0506944444444444in">
                  <w:txbxContent>
                    <w:p>
                      <w:pPr>
                        <w:pStyle w:val="FrameContents"/>
                        <w:rPr/>
                      </w:pPr>
                      <w:r>
                        <w:rPr/>
                        <w:drawing>
                          <wp:inline distT="0" distB="0" distL="0" distR="0">
                            <wp:extent cx="1561465" cy="68580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23" t="-52" r="-23" b="-52"/>
                                    <a:stretch>
                                      <a:fillRect/>
                                    </a:stretch>
                                  </pic:blipFill>
                                  <pic:spPr bwMode="auto">
                                    <a:xfrm>
                                      <a:off x="0" y="0"/>
                                      <a:ext cx="1561465" cy="685800"/>
                                    </a:xfrm>
                                    <a:prstGeom prst="rect">
                                      <a:avLst/>
                                    </a:prstGeom>
                                  </pic:spPr>
                                </pic:pic>
                              </a:graphicData>
                            </a:graphic>
                          </wp:inline>
                        </w:drawing>
                      </w:r>
                    </w:p>
                  </w:txbxContent>
                </v:textbox>
              </v:rect>
            </w:pict>
          </mc:Fallback>
        </mc:AlternateContent>
      </w:r>
    </w:p>
    <w:p>
      <w:pPr>
        <w:pStyle w:val="Normal"/>
        <w:rPr>
          <w:rFonts w:cs="Arial"/>
          <w:b/>
          <w:b/>
        </w:rPr>
      </w:pPr>
      <w:r>
        <w:rPr>
          <w:rFonts w:cs="Arial"/>
          <w:b/>
        </w:rPr>
        <mc:AlternateContent>
          <mc:Choice Requires="wps">
            <w:drawing>
              <wp:anchor behindDoc="0" distT="0" distB="0" distL="114935" distR="114935" simplePos="0" locked="0" layoutInCell="1" allowOverlap="1" relativeHeight="4">
                <wp:simplePos x="0" y="0"/>
                <wp:positionH relativeFrom="column">
                  <wp:posOffset>-215900</wp:posOffset>
                </wp:positionH>
                <wp:positionV relativeFrom="paragraph">
                  <wp:posOffset>12700</wp:posOffset>
                </wp:positionV>
                <wp:extent cx="2636520" cy="626745"/>
                <wp:effectExtent l="0" t="0" r="0" b="0"/>
                <wp:wrapSquare wrapText="bothSides"/>
                <wp:docPr id="5" name="Text Box 4"/>
                <a:graphic xmlns:a="http://schemas.openxmlformats.org/drawingml/2006/main">
                  <a:graphicData uri="http://schemas.microsoft.com/office/word/2010/wordprocessingShape">
                    <wps:wsp>
                      <wps:cNvSpPr/>
                      <wps:spPr>
                        <a:xfrm>
                          <a:off x="0" y="0"/>
                          <a:ext cx="2635920" cy="62604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4" fillcolor="white" stroked="f" style="position:absolute;margin-left:-17pt;margin-top:1pt;width:207.5pt;height:49.25pt">
                <w10:wrap type="none"/>
                <v:fill o:detectmouseclick="t" type="solid" color2="black"/>
                <v:stroke color="#3465a4" joinstyle="round" endcap="flat"/>
              </v:rect>
            </w:pict>
          </mc:Fallback>
        </mc:AlternateContent>
      </w:r>
      <w:r>
        <mc:AlternateContent>
          <mc:Choice Requires="wps">
            <w:drawing>
              <wp:anchor behindDoc="0" distT="72390" distB="72390" distL="117475" distR="114300" simplePos="0" locked="0" layoutInCell="1" allowOverlap="1" relativeHeight="8">
                <wp:simplePos x="0" y="0"/>
                <wp:positionH relativeFrom="column">
                  <wp:posOffset>-215900</wp:posOffset>
                </wp:positionH>
                <wp:positionV relativeFrom="paragraph">
                  <wp:posOffset>12700</wp:posOffset>
                </wp:positionV>
                <wp:extent cx="2635885" cy="535305"/>
                <wp:effectExtent l="0" t="0" r="0" b="0"/>
                <wp:wrapNone/>
                <wp:docPr id="6" name="Frame2"/>
                <a:graphic xmlns:a="http://schemas.openxmlformats.org/drawingml/2006/main">
                  <a:graphicData uri="http://schemas.microsoft.com/office/word/2010/wordprocessingShape">
                    <wps:wsp>
                      <wps:cNvSpPr txBox="1"/>
                      <wps:spPr>
                        <a:xfrm>
                          <a:off x="0" y="0"/>
                          <a:ext cx="2635885" cy="535305"/>
                        </a:xfrm>
                        <a:prstGeom prst="rect"/>
                        <a:solidFill>
                          <a:srgbClr val="FFFFFF"/>
                        </a:solidFill>
                      </wps:spPr>
                      <wps:txbx>
                        <w:txbxContent>
                          <w:p>
                            <w:pPr>
                              <w:pStyle w:val="FrameContents"/>
                              <w:rPr/>
                            </w:pPr>
                            <w:r>
                              <w:rPr/>
                              <w:drawing>
                                <wp:inline distT="0" distB="0" distL="0" distR="0">
                                  <wp:extent cx="2450465" cy="44450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15" t="-80" r="-15" b="-80"/>
                                          <a:stretch>
                                            <a:fillRect/>
                                          </a:stretch>
                                        </pic:blipFill>
                                        <pic:spPr bwMode="auto">
                                          <a:xfrm>
                                            <a:off x="0" y="0"/>
                                            <a:ext cx="2450465" cy="44450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07.55pt;height:42.15pt;mso-wrap-distance-left:9.25pt;mso-wrap-distance-right:9pt;mso-wrap-distance-top:5.7pt;mso-wrap-distance-bottom:5.7pt;margin-top:1pt;mso-position-vertical-relative:text;margin-left:-17pt;mso-position-horizontal-relative:text">
                <v:textbox inset="0.100694444444444in,0.0506944444444444in,0.100694444444444in,0.0506944444444444in">
                  <w:txbxContent>
                    <w:p>
                      <w:pPr>
                        <w:pStyle w:val="FrameContents"/>
                        <w:rPr/>
                      </w:pPr>
                      <w:r>
                        <w:rPr/>
                        <w:drawing>
                          <wp:inline distT="0" distB="0" distL="0" distR="0">
                            <wp:extent cx="2450465" cy="44450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15" t="-80" r="-15" b="-80"/>
                                    <a:stretch>
                                      <a:fillRect/>
                                    </a:stretch>
                                  </pic:blipFill>
                                  <pic:spPr bwMode="auto">
                                    <a:xfrm>
                                      <a:off x="0" y="0"/>
                                      <a:ext cx="2450465" cy="444500"/>
                                    </a:xfrm>
                                    <a:prstGeom prst="rect">
                                      <a:avLst/>
                                    </a:prstGeom>
                                  </pic:spPr>
                                </pic:pic>
                              </a:graphicData>
                            </a:graphic>
                          </wp:inline>
                        </w:drawing>
                      </w:r>
                    </w:p>
                  </w:txbxContent>
                </v:textbox>
              </v:rect>
            </w:pict>
          </mc:Fallback>
        </mc:AlternateContent>
      </w:r>
    </w:p>
    <w:p>
      <w:pPr>
        <w:pStyle w:val="Normal"/>
        <w:rPr>
          <w:rFonts w:cs="Arial"/>
          <w:b/>
          <w:b/>
          <w:sz w:val="28"/>
          <w:szCs w:val="28"/>
        </w:rPr>
      </w:pPr>
      <w:r>
        <w:rPr>
          <w:rFonts w:cs="Arial"/>
          <w:b/>
          <w:sz w:val="28"/>
          <w:szCs w:val="28"/>
        </w:rPr>
      </w:r>
    </w:p>
    <w:p>
      <w:pPr>
        <w:pStyle w:val="Normal"/>
        <w:rPr>
          <w:rFonts w:cs="Arial"/>
          <w:b/>
          <w:b/>
          <w:sz w:val="28"/>
          <w:szCs w:val="28"/>
        </w:rPr>
      </w:pPr>
      <w:r>
        <w:rPr>
          <w:rFonts w:cs="Arial"/>
          <w:b/>
          <w:sz w:val="28"/>
          <w:szCs w:val="28"/>
        </w:rPr>
      </w:r>
    </w:p>
    <w:p>
      <w:pPr>
        <w:pStyle w:val="Normal"/>
        <w:rPr>
          <w:rFonts w:cs="Arial"/>
          <w:b/>
          <w:b/>
          <w:sz w:val="28"/>
          <w:szCs w:val="28"/>
        </w:rPr>
      </w:pPr>
      <w:r>
        <w:rPr>
          <w:rFonts w:cs="Arial"/>
          <w:b/>
          <w:sz w:val="28"/>
          <w:szCs w:val="28"/>
        </w:rPr>
      </w:r>
    </w:p>
    <w:tbl>
      <w:tblPr>
        <w:tblW w:w="5000" w:type="pct"/>
        <w:jc w:val="left"/>
        <w:tblInd w:w="0" w:type="dxa"/>
        <w:tblCellMar>
          <w:top w:w="0" w:type="dxa"/>
          <w:left w:w="108" w:type="dxa"/>
          <w:bottom w:w="0" w:type="dxa"/>
          <w:right w:w="108" w:type="dxa"/>
        </w:tblCellMar>
      </w:tblPr>
      <w:tblGrid>
        <w:gridCol w:w="1939"/>
        <w:gridCol w:w="8517"/>
        <w:gridCol w:w="10"/>
      </w:tblGrid>
      <w:tr>
        <w:trPr>
          <w:trHeight w:val="236" w:hRule="atLeast"/>
        </w:trPr>
        <w:tc>
          <w:tcPr>
            <w:tcW w:w="1939" w:type="dxa"/>
            <w:tcBorders/>
            <w:shd w:fill="auto" w:val="clear"/>
          </w:tcPr>
          <w:p>
            <w:pPr>
              <w:pStyle w:val="Normal"/>
              <w:spacing w:before="120" w:after="120"/>
              <w:rPr>
                <w:rFonts w:cs="Arial"/>
                <w:b/>
                <w:b/>
              </w:rPr>
            </w:pPr>
            <w:r>
              <w:rPr>
                <w:rFonts w:cs="Arial"/>
                <w:b/>
              </w:rPr>
              <w:t>Department</w:t>
            </w:r>
          </w:p>
          <w:p>
            <w:pPr>
              <w:pStyle w:val="Normal"/>
              <w:spacing w:before="120" w:after="120"/>
              <w:rPr>
                <w:rFonts w:cs="Arial"/>
                <w:b/>
                <w:b/>
              </w:rPr>
            </w:pPr>
            <w:r>
              <w:rPr>
                <w:rFonts w:cs="Arial"/>
                <w:b/>
              </w:rPr>
              <w:t>Job Title</w:t>
            </w:r>
          </w:p>
        </w:tc>
        <w:tc>
          <w:tcPr>
            <w:tcW w:w="8517" w:type="dxa"/>
            <w:tcBorders/>
            <w:shd w:fill="auto" w:val="clear"/>
          </w:tcPr>
          <w:p>
            <w:pPr>
              <w:pStyle w:val="Normal"/>
              <w:spacing w:before="120" w:after="120"/>
              <w:rPr>
                <w:rFonts w:cs="Arial"/>
                <w:b/>
                <w:b/>
                <w:caps/>
              </w:rPr>
            </w:pPr>
            <w:r>
              <w:rPr>
                <w:rFonts w:cs="Arial"/>
                <w:b/>
                <w:caps/>
              </w:rPr>
              <w:t xml:space="preserve">ADULTS, COMMUNITIES AND INTEGRATION </w:t>
            </w:r>
          </w:p>
          <w:p>
            <w:pPr>
              <w:pStyle w:val="Normal"/>
              <w:spacing w:before="120" w:after="120"/>
              <w:rPr>
                <w:rFonts w:cs="Arial"/>
                <w:b/>
                <w:b/>
                <w:caps/>
              </w:rPr>
            </w:pPr>
            <w:r>
              <w:rPr>
                <w:rFonts w:cs="Arial"/>
                <w:b/>
                <w:caps/>
              </w:rPr>
              <w:t>Assistant Director Adults and Communities Commissioning</w:t>
            </w:r>
          </w:p>
        </w:tc>
      </w:tr>
      <w:tr>
        <w:trPr>
          <w:trHeight w:val="603" w:hRule="atLeast"/>
        </w:trPr>
        <w:tc>
          <w:tcPr>
            <w:tcW w:w="1939" w:type="dxa"/>
            <w:tcBorders/>
            <w:shd w:fill="auto" w:val="clear"/>
          </w:tcPr>
          <w:p>
            <w:pPr>
              <w:pStyle w:val="Normal"/>
              <w:spacing w:before="120" w:after="120"/>
              <w:rPr>
                <w:rFonts w:cs="Arial"/>
                <w:b/>
                <w:b/>
              </w:rPr>
            </w:pPr>
            <w:r>
              <w:rPr>
                <w:rFonts w:cs="Arial"/>
                <w:b/>
              </w:rPr>
              <w:t>Grade</w:t>
            </w:r>
          </w:p>
        </w:tc>
        <w:tc>
          <w:tcPr>
            <w:tcW w:w="8517" w:type="dxa"/>
            <w:tcBorders/>
            <w:shd w:fill="auto" w:val="clear"/>
          </w:tcPr>
          <w:p>
            <w:pPr>
              <w:pStyle w:val="Normal"/>
              <w:spacing w:before="120" w:after="120"/>
              <w:rPr>
                <w:rFonts w:cs="Arial"/>
                <w:b/>
                <w:b/>
                <w:caps/>
              </w:rPr>
            </w:pPr>
            <w:r>
              <w:rPr>
                <w:rFonts w:cs="Arial"/>
                <w:b/>
                <w:caps/>
              </w:rPr>
              <w:t>Chief officer band 5</w:t>
            </w:r>
          </w:p>
        </w:tc>
      </w:tr>
      <w:tr>
        <w:trPr/>
        <w:tc>
          <w:tcPr>
            <w:tcW w:w="1939" w:type="dxa"/>
            <w:tcBorders/>
            <w:shd w:fill="auto" w:val="clear"/>
          </w:tcPr>
          <w:p>
            <w:pPr>
              <w:pStyle w:val="Normal"/>
              <w:spacing w:before="120" w:after="120"/>
              <w:rPr>
                <w:rFonts w:cs="Arial"/>
                <w:b/>
                <w:b/>
              </w:rPr>
            </w:pPr>
            <w:r>
              <w:rPr>
                <w:rFonts w:cs="Arial"/>
                <w:b/>
              </w:rPr>
              <w:t>Primary Purpose of the Job</w:t>
            </w:r>
          </w:p>
        </w:tc>
        <w:tc>
          <w:tcPr>
            <w:tcW w:w="8517" w:type="dxa"/>
            <w:tcBorders/>
            <w:shd w:fill="auto" w:val="clear"/>
          </w:tcPr>
          <w:p>
            <w:pPr>
              <w:pStyle w:val="Normal"/>
              <w:spacing w:before="120" w:after="120"/>
              <w:rPr>
                <w:rFonts w:cs="Arial"/>
              </w:rPr>
            </w:pPr>
            <w:r>
              <w:rPr>
                <w:rFonts w:cs="Arial"/>
              </w:rPr>
              <w:t xml:space="preserve">To lead Adult Social Care and Community Services Commissioning in the context of a developing Integrated Care system </w:t>
            </w:r>
          </w:p>
          <w:p>
            <w:pPr>
              <w:pStyle w:val="Normal"/>
              <w:spacing w:before="120" w:after="120"/>
              <w:rPr>
                <w:rFonts w:cs="Arial"/>
              </w:rPr>
            </w:pPr>
            <w:r>
              <w:rPr>
                <w:rFonts w:cs="Arial"/>
              </w:rPr>
              <w:t xml:space="preserve">To support the Directors (DASS) in providing a comprehensive resource to the management function including performance management, policy development and delivery of key projects including aspects of reform and CQC assurance and inspection.  </w:t>
            </w:r>
          </w:p>
          <w:p>
            <w:pPr>
              <w:pStyle w:val="Normal"/>
              <w:spacing w:before="120" w:after="120"/>
              <w:rPr>
                <w:rFonts w:cs="Arial"/>
                <w:szCs w:val="20"/>
              </w:rPr>
            </w:pPr>
            <w:r>
              <w:rPr>
                <w:rFonts w:cs="Arial"/>
                <w:szCs w:val="20"/>
              </w:rPr>
              <w:t xml:space="preserve">To support the strategic vision for the delivery of Adult services, community safety and housing commissioning for vulnerable people. </w:t>
            </w:r>
          </w:p>
          <w:p>
            <w:pPr>
              <w:pStyle w:val="Normal"/>
              <w:spacing w:before="120" w:after="120"/>
              <w:rPr>
                <w:rFonts w:cs="Arial"/>
              </w:rPr>
            </w:pPr>
            <w:r>
              <w:rPr>
                <w:rFonts w:cs="Arial"/>
              </w:rPr>
              <w:t>To make a significant contribution to the overall raising of standards and to contribute to improving outcomes across all areas.</w:t>
            </w:r>
          </w:p>
        </w:tc>
      </w:tr>
      <w:tr>
        <w:trPr>
          <w:trHeight w:val="495" w:hRule="atLeast"/>
        </w:trPr>
        <w:tc>
          <w:tcPr>
            <w:tcW w:w="1939" w:type="dxa"/>
            <w:tcBorders/>
            <w:shd w:fill="auto" w:val="clear"/>
          </w:tcPr>
          <w:p>
            <w:pPr>
              <w:pStyle w:val="Normal"/>
              <w:spacing w:before="120" w:after="120"/>
              <w:rPr>
                <w:rFonts w:cs="Arial"/>
                <w:b/>
                <w:b/>
              </w:rPr>
            </w:pPr>
            <w:r>
              <w:rPr>
                <w:rFonts w:cs="Arial"/>
                <w:b/>
              </w:rPr>
              <w:t>Responsible to</w:t>
            </w:r>
          </w:p>
        </w:tc>
        <w:tc>
          <w:tcPr>
            <w:tcW w:w="8517" w:type="dxa"/>
            <w:tcBorders/>
            <w:shd w:fill="auto" w:val="clear"/>
          </w:tcPr>
          <w:p>
            <w:pPr>
              <w:pStyle w:val="Normal"/>
              <w:spacing w:before="120" w:after="120"/>
              <w:rPr>
                <w:rFonts w:cs="Arial"/>
              </w:rPr>
            </w:pPr>
            <w:r>
              <w:rPr>
                <w:rFonts w:cs="Arial"/>
              </w:rPr>
              <w:t>Director of Adults, Communities and Integration</w:t>
            </w:r>
          </w:p>
        </w:tc>
      </w:tr>
      <w:tr>
        <w:trPr>
          <w:trHeight w:val="661" w:hRule="atLeast"/>
        </w:trPr>
        <w:tc>
          <w:tcPr>
            <w:tcW w:w="1939" w:type="dxa"/>
            <w:tcBorders>
              <w:bottom w:val="single" w:sz="4" w:space="0" w:color="000000"/>
            </w:tcBorders>
            <w:shd w:fill="auto" w:val="clear"/>
          </w:tcPr>
          <w:p>
            <w:pPr>
              <w:pStyle w:val="Normal"/>
              <w:spacing w:before="120" w:after="120"/>
              <w:rPr>
                <w:rFonts w:cs="Arial"/>
                <w:b/>
                <w:b/>
              </w:rPr>
            </w:pPr>
            <w:r>
              <w:rPr>
                <w:rFonts w:cs="Arial"/>
                <w:b/>
              </w:rPr>
              <w:t>Responsible for</w:t>
            </w:r>
          </w:p>
          <w:p>
            <w:pPr>
              <w:pStyle w:val="Normal"/>
              <w:spacing w:before="120" w:after="120"/>
              <w:rPr>
                <w:rFonts w:cs="Arial"/>
                <w:b/>
                <w:b/>
              </w:rPr>
            </w:pPr>
            <w:r>
              <w:rPr>
                <w:rFonts w:cs="Arial"/>
                <w:b/>
              </w:rPr>
            </w:r>
          </w:p>
        </w:tc>
        <w:tc>
          <w:tcPr>
            <w:tcW w:w="8517" w:type="dxa"/>
            <w:tcBorders>
              <w:bottom w:val="single" w:sz="4" w:space="0" w:color="000000"/>
            </w:tcBorders>
            <w:shd w:fill="auto" w:val="clear"/>
          </w:tcPr>
          <w:p>
            <w:pPr>
              <w:pStyle w:val="Normal"/>
              <w:spacing w:before="120" w:after="120"/>
              <w:rPr>
                <w:rFonts w:cs="Arial"/>
              </w:rPr>
            </w:pPr>
            <w:r>
              <w:rPr>
                <w:rFonts w:cs="Arial"/>
              </w:rPr>
              <w:t xml:space="preserve">Those officers for whom there is, at any point in time, a direct line management responsibility.     </w:t>
            </w:r>
          </w:p>
        </w:tc>
      </w:tr>
      <w:tr>
        <w:trPr>
          <w:trHeight w:val="183" w:hRule="atLeast"/>
        </w:trPr>
        <w:tc>
          <w:tcPr>
            <w:tcW w:w="1046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cs="Arial"/>
                <w:b/>
                <w:b/>
                <w:sz w:val="20"/>
                <w:szCs w:val="20"/>
              </w:rPr>
            </w:pPr>
            <w:r>
              <w:rPr>
                <w:rFonts w:cs="Arial"/>
                <w:b/>
                <w:sz w:val="20"/>
                <w:szCs w:val="20"/>
              </w:rPr>
              <w:t>Principal responsibilities</w:t>
            </w:r>
          </w:p>
          <w:p>
            <w:pPr>
              <w:pStyle w:val="Normal"/>
              <w:numPr>
                <w:ilvl w:val="0"/>
                <w:numId w:val="3"/>
              </w:numPr>
              <w:spacing w:before="120" w:after="120"/>
              <w:rPr/>
            </w:pPr>
            <w:r>
              <w:rPr>
                <w:rFonts w:cs="Arial"/>
                <w:b/>
                <w:sz w:val="20"/>
                <w:szCs w:val="20"/>
              </w:rPr>
              <w:t xml:space="preserve">LEADERSHIP AND STRATEGY: </w:t>
            </w:r>
            <w:r>
              <w:rPr>
                <w:rFonts w:cs="Arial"/>
                <w:sz w:val="20"/>
                <w:szCs w:val="20"/>
              </w:rPr>
              <w:t>To support the Director in the development and implementation of effective, high quality services commissioned by the Council as a key member of the team.</w:t>
            </w:r>
          </w:p>
          <w:p>
            <w:pPr>
              <w:pStyle w:val="Normal"/>
              <w:numPr>
                <w:ilvl w:val="0"/>
                <w:numId w:val="3"/>
              </w:numPr>
              <w:spacing w:before="120" w:after="120"/>
              <w:rPr/>
            </w:pPr>
            <w:r>
              <w:rPr>
                <w:rFonts w:cs="Arial"/>
                <w:b/>
                <w:sz w:val="20"/>
                <w:szCs w:val="20"/>
              </w:rPr>
              <w:t xml:space="preserve">DLT MEMBERSHIP: </w:t>
            </w:r>
            <w:r>
              <w:rPr>
                <w:rFonts w:cs="Arial"/>
                <w:sz w:val="20"/>
                <w:szCs w:val="20"/>
              </w:rPr>
              <w:t>To be an active member of the Departmental Leadership Teams (DLT) and work effectively with other members to achieve synergy and integrated working between all areas of the department.</w:t>
            </w:r>
          </w:p>
          <w:p>
            <w:pPr>
              <w:pStyle w:val="Normal"/>
              <w:numPr>
                <w:ilvl w:val="0"/>
                <w:numId w:val="3"/>
              </w:numPr>
              <w:spacing w:before="120" w:after="120"/>
              <w:rPr/>
            </w:pPr>
            <w:r>
              <w:rPr>
                <w:rFonts w:cs="Arial"/>
                <w:b/>
                <w:sz w:val="20"/>
                <w:szCs w:val="20"/>
              </w:rPr>
              <w:t xml:space="preserve">ADVICE AND SUPPORT: </w:t>
            </w:r>
            <w:r>
              <w:rPr>
                <w:rFonts w:cs="Arial"/>
                <w:sz w:val="20"/>
                <w:szCs w:val="20"/>
              </w:rPr>
              <w:t>To advise the statutory directors the Chief Executive and the Corporate Leadership Team and Elected Members on matters within the scope of this role</w:t>
            </w:r>
          </w:p>
          <w:p>
            <w:pPr>
              <w:pStyle w:val="Normal"/>
              <w:numPr>
                <w:ilvl w:val="0"/>
                <w:numId w:val="3"/>
              </w:numPr>
              <w:spacing w:before="120" w:after="120"/>
              <w:rPr/>
            </w:pPr>
            <w:r>
              <w:rPr>
                <w:rFonts w:cs="Arial"/>
                <w:b/>
                <w:sz w:val="20"/>
                <w:szCs w:val="20"/>
              </w:rPr>
              <w:t xml:space="preserve">REGIONAL WORKING: </w:t>
            </w:r>
            <w:r>
              <w:rPr>
                <w:rFonts w:cs="Arial"/>
                <w:sz w:val="20"/>
                <w:szCs w:val="20"/>
              </w:rPr>
              <w:t>To contribute appropriately to the delivery of regional and sub-regional programmes and projects across the Greater Manchester (GM) City Region, including the Greater Manchester Combined Authorities (GMCA) and Association of Greater Manchester Authorities (AGMA) NHS Greater Manchester (GMICB) as well as regional and national forums where appropriate.</w:t>
            </w:r>
          </w:p>
          <w:p>
            <w:pPr>
              <w:pStyle w:val="ListParagraph"/>
              <w:numPr>
                <w:ilvl w:val="0"/>
                <w:numId w:val="3"/>
              </w:numPr>
              <w:rPr/>
            </w:pPr>
            <w:r>
              <w:rPr>
                <w:rFonts w:cs="Arial"/>
                <w:b/>
                <w:sz w:val="20"/>
                <w:szCs w:val="20"/>
              </w:rPr>
              <w:t xml:space="preserve">PARTNERSHIPS: </w:t>
            </w:r>
            <w:r>
              <w:rPr>
                <w:rFonts w:cs="Arial"/>
                <w:sz w:val="20"/>
                <w:szCs w:val="20"/>
              </w:rPr>
              <w:t xml:space="preserve">To work effectively with internal and external partners, leading and contributing to appropriate GM, NW, Council and partnership programmes and projects to deliver departmental and corporate aims and priorities </w:t>
            </w:r>
          </w:p>
          <w:p>
            <w:pPr>
              <w:pStyle w:val="Normal"/>
              <w:numPr>
                <w:ilvl w:val="0"/>
                <w:numId w:val="3"/>
              </w:numPr>
              <w:spacing w:before="120" w:after="120"/>
              <w:rPr/>
            </w:pPr>
            <w:r>
              <w:rPr>
                <w:rFonts w:cs="Arial"/>
                <w:b/>
                <w:sz w:val="20"/>
                <w:szCs w:val="20"/>
              </w:rPr>
              <w:t xml:space="preserve">STAKEHOLDERS: </w:t>
            </w:r>
            <w:r>
              <w:rPr>
                <w:rFonts w:cs="Arial"/>
                <w:sz w:val="20"/>
                <w:szCs w:val="20"/>
              </w:rPr>
              <w:t>To develop and strengthen effective communication, engagement and working relationships with key stakeholders with a view to improving service delivery</w:t>
            </w:r>
          </w:p>
          <w:p>
            <w:pPr>
              <w:pStyle w:val="Normal"/>
              <w:numPr>
                <w:ilvl w:val="0"/>
                <w:numId w:val="3"/>
              </w:numPr>
              <w:spacing w:before="120" w:after="120"/>
              <w:rPr/>
            </w:pPr>
            <w:r>
              <w:rPr>
                <w:rFonts w:cs="Arial"/>
                <w:b/>
                <w:sz w:val="20"/>
                <w:szCs w:val="20"/>
              </w:rPr>
              <w:t xml:space="preserve">PROBITY AND STANDARDS: </w:t>
            </w:r>
            <w:r>
              <w:rPr>
                <w:rFonts w:cs="Arial"/>
                <w:sz w:val="20"/>
                <w:szCs w:val="20"/>
              </w:rPr>
              <w:t>To contribute to supporting the Council to meet statutory and non-statutory provisions to the highest possible standard in all relevant inspection frameworks.</w:t>
            </w:r>
          </w:p>
          <w:p>
            <w:pPr>
              <w:pStyle w:val="Normal"/>
              <w:numPr>
                <w:ilvl w:val="0"/>
                <w:numId w:val="3"/>
              </w:numPr>
              <w:spacing w:before="120" w:after="120"/>
              <w:rPr/>
            </w:pPr>
            <w:r>
              <w:rPr>
                <w:rFonts w:cs="Arial"/>
                <w:b/>
                <w:sz w:val="20"/>
                <w:szCs w:val="20"/>
              </w:rPr>
              <w:t>RESOURCES:</w:t>
            </w:r>
            <w:r>
              <w:rPr>
                <w:rFonts w:cs="Arial"/>
                <w:sz w:val="20"/>
                <w:szCs w:val="20"/>
              </w:rPr>
              <w:t xml:space="preserve"> To secure and allocate resources to ensure the effective delivery of services within the remit of the role, managing within budgets and developing ideas and using business data to generate new opportunities.</w:t>
            </w:r>
          </w:p>
          <w:p>
            <w:pPr>
              <w:pStyle w:val="Normal"/>
              <w:numPr>
                <w:ilvl w:val="0"/>
                <w:numId w:val="3"/>
              </w:numPr>
              <w:spacing w:before="120" w:after="120"/>
              <w:rPr/>
            </w:pPr>
            <w:r>
              <w:rPr>
                <w:rFonts w:cs="Arial"/>
                <w:b/>
                <w:sz w:val="20"/>
                <w:szCs w:val="20"/>
              </w:rPr>
              <w:t xml:space="preserve">CIVIL CONTINGENCIES: </w:t>
            </w:r>
            <w:r>
              <w:rPr>
                <w:rFonts w:cs="Arial"/>
                <w:sz w:val="20"/>
                <w:szCs w:val="20"/>
              </w:rPr>
              <w:t>To act as a Strategic Officer to support the Civil Contingencies within the Council.</w:t>
            </w:r>
          </w:p>
          <w:p>
            <w:pPr>
              <w:pStyle w:val="Normal"/>
              <w:numPr>
                <w:ilvl w:val="0"/>
                <w:numId w:val="3"/>
              </w:numPr>
              <w:spacing w:before="120" w:after="120"/>
              <w:rPr/>
            </w:pPr>
            <w:r>
              <w:rPr>
                <w:rFonts w:cs="Arial"/>
                <w:b/>
                <w:sz w:val="20"/>
                <w:szCs w:val="20"/>
              </w:rPr>
              <w:t>AREA WORKING:</w:t>
            </w:r>
            <w:r>
              <w:rPr>
                <w:rFonts w:cs="Arial"/>
                <w:sz w:val="20"/>
                <w:szCs w:val="20"/>
              </w:rPr>
              <w:t xml:space="preserve"> To support the Council’s Area Working.</w:t>
            </w:r>
          </w:p>
          <w:p>
            <w:pPr>
              <w:pStyle w:val="Normal"/>
              <w:numPr>
                <w:ilvl w:val="0"/>
                <w:numId w:val="3"/>
              </w:numPr>
              <w:spacing w:before="120" w:after="120"/>
              <w:rPr/>
            </w:pPr>
            <w:r>
              <w:rPr>
                <w:rFonts w:cs="Arial"/>
                <w:b/>
                <w:sz w:val="20"/>
                <w:szCs w:val="20"/>
              </w:rPr>
              <w:t>COMMUNITY COHESION:</w:t>
            </w:r>
            <w:r>
              <w:rPr>
                <w:rFonts w:cs="Arial"/>
                <w:sz w:val="20"/>
                <w:szCs w:val="20"/>
              </w:rPr>
              <w:t xml:space="preserve"> To support the Council’s strategy for Belonging in Bolton - Community Cohesion.</w:t>
            </w:r>
          </w:p>
        </w:tc>
      </w:tr>
      <w:tr>
        <w:trPr>
          <w:trHeight w:val="194" w:hRule="atLeast"/>
          <w:cantSplit w:val="true"/>
        </w:trPr>
        <w:tc>
          <w:tcPr>
            <w:tcW w:w="1046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120"/>
              <w:rPr>
                <w:rFonts w:cs="Arial"/>
                <w:b/>
                <w:b/>
              </w:rPr>
            </w:pPr>
            <w:r>
              <w:rPr>
                <w:rFonts w:cs="Arial"/>
                <w:b/>
              </w:rPr>
              <w:t>Specific responsibilities to include:</w:t>
            </w:r>
          </w:p>
          <w:p>
            <w:pPr>
              <w:pStyle w:val="ListParagraph"/>
              <w:numPr>
                <w:ilvl w:val="0"/>
                <w:numId w:val="4"/>
              </w:numPr>
              <w:spacing w:before="120" w:after="120"/>
              <w:rPr/>
            </w:pPr>
            <w:r>
              <w:rPr>
                <w:rFonts w:cs="Arial"/>
              </w:rPr>
              <w:t>To support the Director in the delivery of the vision, locality plan and Strategic Commissioning for social care and communities’</w:t>
            </w:r>
            <w:r>
              <w:rPr>
                <w:rFonts w:cs="Arial"/>
                <w:szCs w:val="20"/>
              </w:rPr>
              <w:t xml:space="preserve"> priorities for adults and vulnerable people.</w:t>
            </w:r>
          </w:p>
          <w:p>
            <w:pPr>
              <w:pStyle w:val="ListParagraph"/>
              <w:numPr>
                <w:ilvl w:val="0"/>
                <w:numId w:val="4"/>
              </w:numPr>
              <w:spacing w:before="120" w:after="120"/>
              <w:rPr>
                <w:rFonts w:cs="Arial"/>
                <w:szCs w:val="20"/>
              </w:rPr>
            </w:pPr>
            <w:r>
              <w:rPr>
                <w:rFonts w:cs="Arial"/>
                <w:szCs w:val="20"/>
              </w:rPr>
              <w:t xml:space="preserve">Ensures commissioning strategies and plans are in place that reflect local need, priorities and maximise resources.  </w:t>
            </w:r>
          </w:p>
          <w:p>
            <w:pPr>
              <w:pStyle w:val="ListParagraph"/>
              <w:numPr>
                <w:ilvl w:val="0"/>
                <w:numId w:val="4"/>
              </w:numPr>
              <w:spacing w:before="120" w:after="120"/>
              <w:rPr>
                <w:rFonts w:cs="Arial"/>
                <w:szCs w:val="20"/>
              </w:rPr>
            </w:pPr>
            <w:r>
              <w:rPr>
                <w:rFonts w:cs="Arial"/>
                <w:szCs w:val="20"/>
              </w:rPr>
              <w:t xml:space="preserve">Contributes to the Service and Financial Plan in Bolton and supports the development of integrated commissioning as a cross-cutting activity, linking strategic and financial planning with operational delivery.  </w:t>
            </w:r>
          </w:p>
          <w:p>
            <w:pPr>
              <w:pStyle w:val="ListParagraph"/>
              <w:numPr>
                <w:ilvl w:val="0"/>
                <w:numId w:val="4"/>
              </w:numPr>
              <w:spacing w:before="120" w:after="120"/>
              <w:rPr>
                <w:rFonts w:cs="Arial"/>
                <w:szCs w:val="20"/>
              </w:rPr>
            </w:pPr>
            <w:r>
              <w:rPr>
                <w:rFonts w:cs="Arial"/>
                <w:szCs w:val="20"/>
              </w:rPr>
              <w:t>Creates an environment that ensures that people who use services and their carers are at the heart of commissioning, engaging and co-producing with citizens in the wider community to define outcomes which reflect needs, preferences and aspirations of people who will use services in the future</w:t>
            </w:r>
          </w:p>
          <w:p>
            <w:pPr>
              <w:pStyle w:val="ListParagraph"/>
              <w:numPr>
                <w:ilvl w:val="0"/>
                <w:numId w:val="4"/>
              </w:numPr>
              <w:spacing w:lineRule="auto" w:line="276" w:before="60" w:after="60"/>
              <w:contextualSpacing/>
              <w:jc w:val="both"/>
              <w:rPr/>
            </w:pPr>
            <w:r>
              <w:rPr/>
              <w:t>Develops and maintains partnership arrangements with stakeholders across organisations, with the responsibility for ensuring that changes resulting from the service transformation take account of professional social care issues.</w:t>
            </w:r>
          </w:p>
          <w:p>
            <w:pPr>
              <w:pStyle w:val="ListParagraph"/>
              <w:numPr>
                <w:ilvl w:val="0"/>
                <w:numId w:val="4"/>
              </w:numPr>
              <w:spacing w:before="120" w:after="120"/>
              <w:rPr>
                <w:rFonts w:cs="Arial"/>
                <w:szCs w:val="20"/>
              </w:rPr>
            </w:pPr>
            <w:r>
              <w:rPr>
                <w:rFonts w:cs="Arial"/>
                <w:szCs w:val="20"/>
              </w:rPr>
              <w:t xml:space="preserve">Manages the budget for agreed commissioned service, ensuring compliance with contractual arrangements and commissioned developed service specifications and standards.  </w:t>
            </w:r>
          </w:p>
          <w:p>
            <w:pPr>
              <w:pStyle w:val="ListParagraph"/>
              <w:numPr>
                <w:ilvl w:val="0"/>
                <w:numId w:val="4"/>
              </w:numPr>
              <w:spacing w:before="120" w:after="120"/>
              <w:rPr>
                <w:rFonts w:cs="Arial"/>
                <w:szCs w:val="20"/>
              </w:rPr>
            </w:pPr>
            <w:r>
              <w:rPr>
                <w:rFonts w:cs="Arial"/>
                <w:szCs w:val="20"/>
              </w:rPr>
              <w:t xml:space="preserve">Challenges conventional approaches across public health and social care to enable greater efficiency, effectiveness through the development of best practices and innovative commissioning and market development.  </w:t>
            </w:r>
          </w:p>
          <w:p>
            <w:pPr>
              <w:pStyle w:val="ListParagraph"/>
              <w:numPr>
                <w:ilvl w:val="0"/>
                <w:numId w:val="4"/>
              </w:numPr>
              <w:spacing w:before="120" w:after="120"/>
              <w:rPr>
                <w:rFonts w:cs="Arial"/>
                <w:szCs w:val="20"/>
              </w:rPr>
            </w:pPr>
            <w:r>
              <w:rPr>
                <w:rFonts w:cs="Arial"/>
                <w:szCs w:val="20"/>
              </w:rPr>
              <w:t xml:space="preserve">Alerts the Statutory Director (DASS) when there is failure or risk of failure, to meeting required professional standards, market failure or quality concerns, and advise on action to mitigate this.  </w:t>
            </w:r>
          </w:p>
          <w:p>
            <w:pPr>
              <w:pStyle w:val="ListParagraph"/>
              <w:numPr>
                <w:ilvl w:val="0"/>
                <w:numId w:val="4"/>
              </w:numPr>
              <w:spacing w:before="120" w:after="120"/>
              <w:rPr>
                <w:rFonts w:cs="Arial"/>
                <w:szCs w:val="20"/>
              </w:rPr>
            </w:pPr>
            <w:r>
              <w:rPr>
                <w:rFonts w:cs="Arial"/>
                <w:szCs w:val="20"/>
              </w:rPr>
              <w:t xml:space="preserve">Devises and updates appropriate infrastructures, methodologies and templates to support the commissioning process and cultural change and supports commissioners to develop and present business cases as required.  </w:t>
            </w:r>
          </w:p>
          <w:p>
            <w:pPr>
              <w:pStyle w:val="ListParagraph"/>
              <w:numPr>
                <w:ilvl w:val="0"/>
                <w:numId w:val="4"/>
              </w:numPr>
              <w:spacing w:before="120" w:after="120"/>
              <w:rPr>
                <w:rFonts w:cs="Arial"/>
                <w:szCs w:val="20"/>
              </w:rPr>
            </w:pPr>
            <w:r>
              <w:rPr>
                <w:rFonts w:cs="Arial"/>
                <w:szCs w:val="20"/>
              </w:rPr>
              <w:t>Ensures active engagement with people in order to promote a culture of learning and coproduction to develop services for the future.</w:t>
            </w:r>
          </w:p>
          <w:p>
            <w:pPr>
              <w:pStyle w:val="ListParagraph"/>
              <w:numPr>
                <w:ilvl w:val="0"/>
                <w:numId w:val="4"/>
              </w:numPr>
              <w:spacing w:before="120" w:after="120"/>
              <w:rPr>
                <w:rFonts w:cs="Arial"/>
                <w:szCs w:val="20"/>
              </w:rPr>
            </w:pPr>
            <w:r>
              <w:rPr>
                <w:rFonts w:cs="Arial"/>
                <w:szCs w:val="20"/>
              </w:rPr>
              <w:t>Fully engages in relevant workstreams across Greater Manchester which relate to adult social care and communities.</w:t>
            </w:r>
          </w:p>
          <w:p>
            <w:pPr>
              <w:pStyle w:val="ListParagraph"/>
              <w:numPr>
                <w:ilvl w:val="0"/>
                <w:numId w:val="4"/>
              </w:numPr>
              <w:spacing w:before="120" w:after="120"/>
              <w:rPr>
                <w:rFonts w:cs="Arial"/>
                <w:szCs w:val="20"/>
              </w:rPr>
            </w:pPr>
            <w:r>
              <w:rPr>
                <w:rFonts w:cs="Arial"/>
                <w:szCs w:val="20"/>
              </w:rPr>
              <w:t xml:space="preserve">Ensures Bolton meets our statutory responsibilities, CQC assurance compliance and wider system commissioning expectations (e.g. GM Plan and NHS Long Term Plan)  </w:t>
            </w:r>
          </w:p>
          <w:p>
            <w:pPr>
              <w:pStyle w:val="ListParagraph"/>
              <w:numPr>
                <w:ilvl w:val="0"/>
                <w:numId w:val="4"/>
              </w:numPr>
              <w:spacing w:before="120" w:after="120"/>
              <w:rPr>
                <w:rFonts w:cs="Arial"/>
                <w:szCs w:val="20"/>
              </w:rPr>
            </w:pPr>
            <w:r>
              <w:rPr>
                <w:rFonts w:cs="Arial"/>
                <w:szCs w:val="20"/>
              </w:rPr>
              <w:t>To drive continuous improvement and efficiency in service planning and delivery across the department and the Council.</w:t>
            </w:r>
          </w:p>
          <w:p>
            <w:pPr>
              <w:pStyle w:val="ListParagraph"/>
              <w:numPr>
                <w:ilvl w:val="0"/>
                <w:numId w:val="4"/>
              </w:numPr>
              <w:spacing w:before="120" w:after="120"/>
              <w:rPr>
                <w:rFonts w:cs="Arial"/>
                <w:szCs w:val="20"/>
              </w:rPr>
            </w:pPr>
            <w:r>
              <w:rPr>
                <w:rFonts w:cs="Arial"/>
                <w:szCs w:val="20"/>
              </w:rPr>
              <w:t>To ensure the effective management of budgets within the defined area of responsibility.</w:t>
            </w:r>
          </w:p>
          <w:p>
            <w:pPr>
              <w:pStyle w:val="Normal"/>
              <w:spacing w:before="120" w:after="120"/>
              <w:rPr>
                <w:rFonts w:cs="Arial"/>
              </w:rPr>
            </w:pPr>
            <w:r>
              <w:rPr>
                <w:rFonts w:cs="Arial"/>
              </w:rPr>
            </w:r>
          </w:p>
        </w:tc>
      </w:tr>
      <w:tr>
        <w:trPr>
          <w:trHeight w:val="3497" w:hRule="atLeast"/>
          <w:cantSplit w:val="true"/>
        </w:trPr>
        <w:tc>
          <w:tcPr>
            <w:tcW w:w="10466" w:type="dxa"/>
            <w:gridSpan w:val="2"/>
            <w:tcBorders>
              <w:top w:val="single" w:sz="4" w:space="0" w:color="000000"/>
              <w:left w:val="single" w:sz="4" w:space="0" w:color="000000"/>
              <w:bottom w:val="single" w:sz="4" w:space="0" w:color="000000"/>
              <w:right w:val="single" w:sz="4" w:space="0" w:color="000000"/>
            </w:tcBorders>
            <w:shd w:fill="auto" w:val="clear"/>
          </w:tcPr>
          <w:p>
            <w:pPr>
              <w:pStyle w:val="ListParagraph"/>
              <w:numPr>
                <w:ilvl w:val="0"/>
                <w:numId w:val="5"/>
              </w:numPr>
              <w:spacing w:before="120" w:after="120"/>
              <w:rPr>
                <w:rFonts w:cs="Arial"/>
                <w:szCs w:val="20"/>
              </w:rPr>
            </w:pPr>
            <w:r>
              <w:rPr>
                <w:rFonts w:cs="Arial"/>
                <w:szCs w:val="20"/>
              </w:rPr>
              <w:t>To develop effective working relationships with managers, staff and the trade unions.</w:t>
            </w:r>
          </w:p>
          <w:p>
            <w:pPr>
              <w:pStyle w:val="ListParagraph"/>
              <w:numPr>
                <w:ilvl w:val="0"/>
                <w:numId w:val="5"/>
              </w:numPr>
              <w:spacing w:before="120" w:after="120"/>
              <w:rPr>
                <w:rFonts w:cs="Arial"/>
                <w:szCs w:val="20"/>
              </w:rPr>
            </w:pPr>
            <w:r>
              <w:rPr>
                <w:rFonts w:cs="Arial"/>
                <w:szCs w:val="20"/>
              </w:rPr>
              <w:t>To positively manage health and safety to ensure compliance with all appropriate regulations and directives.</w:t>
            </w:r>
          </w:p>
          <w:p>
            <w:pPr>
              <w:pStyle w:val="ListParagraph"/>
              <w:numPr>
                <w:ilvl w:val="0"/>
                <w:numId w:val="5"/>
              </w:numPr>
              <w:spacing w:before="120" w:after="120"/>
              <w:rPr>
                <w:rFonts w:cs="Arial"/>
                <w:szCs w:val="20"/>
              </w:rPr>
            </w:pPr>
            <w:r>
              <w:rPr>
                <w:rFonts w:cs="Arial"/>
                <w:szCs w:val="20"/>
              </w:rPr>
              <w:t>To lead, co-ordinate and contribute to the relevant Service Planning Processes</w:t>
            </w:r>
          </w:p>
          <w:p>
            <w:pPr>
              <w:pStyle w:val="ListParagraph"/>
              <w:numPr>
                <w:ilvl w:val="0"/>
                <w:numId w:val="5"/>
              </w:numPr>
              <w:spacing w:before="120" w:after="120"/>
              <w:rPr>
                <w:rFonts w:cs="Arial"/>
                <w:szCs w:val="20"/>
              </w:rPr>
            </w:pPr>
            <w:r>
              <w:rPr>
                <w:rFonts w:cs="Arial"/>
                <w:szCs w:val="20"/>
              </w:rPr>
              <w:t>To contribute to the council’s and Department self-assessment and performance management systems and play a leading role in preparing for external assurance processes.</w:t>
            </w:r>
          </w:p>
          <w:p>
            <w:pPr>
              <w:pStyle w:val="ListParagraph"/>
              <w:numPr>
                <w:ilvl w:val="0"/>
                <w:numId w:val="5"/>
              </w:numPr>
              <w:spacing w:before="120" w:after="120"/>
              <w:rPr>
                <w:rFonts w:cs="Arial"/>
                <w:szCs w:val="20"/>
              </w:rPr>
            </w:pPr>
            <w:r>
              <w:rPr>
                <w:rFonts w:cs="Arial"/>
                <w:szCs w:val="20"/>
              </w:rPr>
              <w:t>To represent the Council at regional and sub – regional level</w:t>
            </w:r>
          </w:p>
          <w:p>
            <w:pPr>
              <w:pStyle w:val="ListParagraph"/>
              <w:numPr>
                <w:ilvl w:val="0"/>
                <w:numId w:val="5"/>
              </w:numPr>
              <w:spacing w:before="120" w:after="120"/>
              <w:rPr>
                <w:rFonts w:cs="Arial"/>
                <w:szCs w:val="20"/>
              </w:rPr>
            </w:pPr>
            <w:r>
              <w:rPr>
                <w:rFonts w:cs="Arial"/>
                <w:szCs w:val="20"/>
              </w:rPr>
              <w:t xml:space="preserve">Any other area determined by the Director. </w:t>
            </w:r>
          </w:p>
          <w:p>
            <w:pPr>
              <w:pStyle w:val="Normal"/>
              <w:spacing w:before="60" w:after="120"/>
              <w:ind w:left="360" w:right="0" w:hanging="0"/>
              <w:rPr>
                <w:rFonts w:cs="Arial"/>
                <w:b/>
                <w:b/>
              </w:rPr>
            </w:pPr>
            <w:r>
              <w:rPr>
                <w:rFonts w:cs="Arial"/>
                <w:b/>
              </w:rPr>
              <w:t>Additional duties</w:t>
            </w:r>
          </w:p>
          <w:p>
            <w:pPr>
              <w:pStyle w:val="Normal"/>
              <w:ind w:left="360" w:right="0" w:hanging="0"/>
              <w:rPr/>
            </w:pPr>
            <w:r>
              <w:rPr>
                <w:rFonts w:cs="Arial"/>
                <w:b/>
              </w:rPr>
              <w:t xml:space="preserve">Equality and Diversity - </w:t>
            </w:r>
            <w:r>
              <w:rPr/>
              <w:t>To accept everyone has a right to his or her distinct identity.  To treat everyone with dignity and respect and to ensure that what all our customers tell us is valued by reporting it back into the organisation.  To be responsible for promoting and participating in the achievement of the departmental valuing diversity action plan.</w:t>
            </w:r>
          </w:p>
          <w:p>
            <w:pPr>
              <w:pStyle w:val="Normal"/>
              <w:ind w:left="360" w:right="0" w:hanging="0"/>
              <w:rPr>
                <w:rFonts w:cs="Arial"/>
              </w:rPr>
            </w:pPr>
            <w:r>
              <w:rPr>
                <w:rFonts w:cs="Arial"/>
              </w:rPr>
            </w:r>
          </w:p>
          <w:p>
            <w:pPr>
              <w:pStyle w:val="Normal"/>
              <w:widowControl w:val="false"/>
              <w:ind w:left="360" w:right="0" w:hanging="0"/>
              <w:rPr/>
            </w:pPr>
            <w:r>
              <w:rPr>
                <w:rFonts w:cs="Arial"/>
                <w:b/>
              </w:rPr>
              <w:t xml:space="preserve">Developing Self and Others </w:t>
            </w:r>
            <w:r>
              <w:rPr>
                <w:rFonts w:cs="Arial"/>
              </w:rPr>
              <w:t>- To use processes and put processes in place to generate a learning environment.  To focus on the strengths and requirements of all individuals and enable them to further their skills and knowledge.  To actively pursue your own development.  To be self-aware and role model continuous self-development.</w:t>
            </w:r>
          </w:p>
          <w:p>
            <w:pPr>
              <w:pStyle w:val="Normal"/>
              <w:widowControl w:val="false"/>
              <w:ind w:left="360" w:right="0" w:hanging="0"/>
              <w:rPr>
                <w:rFonts w:cs="Arial"/>
              </w:rPr>
            </w:pPr>
            <w:r>
              <w:rPr>
                <w:rFonts w:cs="Arial"/>
              </w:rPr>
            </w:r>
          </w:p>
          <w:p>
            <w:pPr>
              <w:pStyle w:val="Normal"/>
              <w:keepNext w:val="true"/>
              <w:keepLines/>
              <w:widowControl w:val="false"/>
              <w:ind w:left="360" w:right="0" w:hanging="0"/>
              <w:rPr/>
            </w:pPr>
            <w:r>
              <w:rPr>
                <w:rFonts w:cs="Arial"/>
                <w:b/>
                <w:bCs/>
                <w:iCs/>
              </w:rPr>
              <w:t xml:space="preserve">Responding to Civil Contingencies - </w:t>
            </w:r>
            <w:r>
              <w:rPr>
                <w:rFonts w:cs="Arial"/>
                <w:bCs/>
                <w:iCs/>
              </w:rPr>
              <w:t>Bolton Council has a statutory duty under the Civil Contingencies Act to respond in the event of an emergency.  If Bolton Council's Emergency Management Plan is activated, you could be required to assist, or assist others, in the continued maintenance or delivery of key Council services and of support to the community.  This could require working outside of routine working hours and could entail working from places other than your normal place of work.</w:t>
            </w:r>
          </w:p>
          <w:p>
            <w:pPr>
              <w:pStyle w:val="Normal"/>
              <w:keepNext w:val="true"/>
              <w:keepLines/>
              <w:widowControl w:val="false"/>
              <w:rPr>
                <w:rFonts w:cs="Arial"/>
                <w:bCs/>
                <w:iCs/>
              </w:rPr>
            </w:pPr>
            <w:r>
              <w:rPr>
                <w:rFonts w:cs="Arial"/>
                <w:bCs/>
                <w:iCs/>
              </w:rPr>
            </w:r>
          </w:p>
          <w:p>
            <w:pPr>
              <w:pStyle w:val="Normal"/>
              <w:keepNext w:val="true"/>
              <w:keepLines/>
              <w:widowControl w:val="false"/>
              <w:ind w:left="360" w:right="0" w:hanging="0"/>
              <w:rPr>
                <w:rFonts w:cs="Arial"/>
                <w:b/>
                <w:b/>
                <w:iCs/>
              </w:rPr>
            </w:pPr>
            <w:r>
              <w:rPr>
                <w:rFonts w:cs="Arial"/>
                <w:b/>
                <w:iCs/>
              </w:rPr>
              <w:t xml:space="preserve">All the above duties must be performed within Bolton Council’s Values and Behaviours Framework. (see person specification and internet for further details).  </w:t>
            </w:r>
          </w:p>
          <w:p>
            <w:pPr>
              <w:pStyle w:val="Normal"/>
              <w:keepNext w:val="true"/>
              <w:keepLines/>
              <w:widowControl w:val="false"/>
              <w:rPr>
                <w:rFonts w:cs="Arial"/>
                <w:b/>
                <w:b/>
              </w:rPr>
            </w:pPr>
            <w:r>
              <w:rPr>
                <w:rFonts w:cs="Arial"/>
                <w:b/>
              </w:rPr>
            </w:r>
          </w:p>
        </w:tc>
      </w:tr>
    </w:tbl>
    <w:p>
      <w:pPr>
        <w:pStyle w:val="Normal"/>
        <w:spacing w:before="60" w:after="120"/>
        <w:rPr>
          <w:rFonts w:cs="Arial"/>
          <w:b/>
          <w:b/>
        </w:rPr>
      </w:pPr>
      <w:r>
        <w:rPr>
          <w:rFonts w:cs="Arial"/>
          <w:b/>
        </w:rPr>
        <w:tab/>
      </w:r>
    </w:p>
    <w:p>
      <w:pPr>
        <w:pStyle w:val="Normal"/>
        <w:spacing w:before="60" w:after="120"/>
        <w:rPr>
          <w:rFonts w:cs="Arial"/>
          <w:b/>
          <w:b/>
        </w:rPr>
      </w:pPr>
      <w:r>
        <w:rPr>
          <w:rFonts w:cs="Arial"/>
          <w:b/>
        </w:rPr>
        <w:t>Review and Change Arrangements</w:t>
      </w:r>
    </w:p>
    <w:p>
      <w:pPr>
        <w:pStyle w:val="Normal"/>
        <w:spacing w:before="60" w:after="120"/>
        <w:rPr>
          <w:rFonts w:cs="Arial"/>
        </w:rPr>
      </w:pPr>
      <w:r>
        <w:rPr>
          <w:rFonts w:cs="Arial"/>
        </w:rPr>
        <w:t xml:space="preserve">The details contained in the job description reflect the content of the job at the date the job description was prepared. It is inevitable that over time the nature of the job will change, existing duties may be lost, and other duties may be gained without changing the general character of the duties or the level of responsibility. Consequently, the Council will expect to revise the job description from time to time and will consult with the post holder at the appropriate time. </w:t>
      </w:r>
    </w:p>
    <w:tbl>
      <w:tblPr>
        <w:tblW w:w="9819" w:type="dxa"/>
        <w:jc w:val="left"/>
        <w:tblInd w:w="0" w:type="dxa"/>
        <w:tblCellMar>
          <w:top w:w="0" w:type="dxa"/>
          <w:left w:w="108" w:type="dxa"/>
          <w:bottom w:w="0" w:type="dxa"/>
          <w:right w:w="108" w:type="dxa"/>
        </w:tblCellMar>
      </w:tblPr>
      <w:tblGrid>
        <w:gridCol w:w="4547"/>
        <w:gridCol w:w="5272"/>
      </w:tblGrid>
      <w:tr>
        <w:trPr/>
        <w:tc>
          <w:tcPr>
            <w:tcW w:w="4547" w:type="dxa"/>
            <w:tcBorders/>
            <w:shd w:fill="auto" w:val="clear"/>
          </w:tcPr>
          <w:p>
            <w:pPr>
              <w:pStyle w:val="Normal"/>
              <w:spacing w:before="60" w:after="60"/>
              <w:rPr>
                <w:rFonts w:cs="Arial"/>
                <w:b/>
                <w:b/>
              </w:rPr>
            </w:pPr>
            <w:r>
              <w:rPr>
                <w:rFonts w:cs="Arial"/>
                <w:b/>
              </w:rPr>
              <w:t>Date Job Description prepared/updated</w:t>
            </w:r>
          </w:p>
        </w:tc>
        <w:tc>
          <w:tcPr>
            <w:tcW w:w="5272" w:type="dxa"/>
            <w:tcBorders/>
            <w:shd w:fill="auto" w:val="clear"/>
          </w:tcPr>
          <w:p>
            <w:pPr>
              <w:pStyle w:val="Normal"/>
              <w:spacing w:before="60" w:after="60"/>
              <w:rPr>
                <w:rFonts w:cs="Arial"/>
              </w:rPr>
            </w:pPr>
            <w:r>
              <w:rPr>
                <w:rFonts w:cs="Arial"/>
              </w:rPr>
              <w:t>July 2026</w:t>
            </w:r>
          </w:p>
        </w:tc>
      </w:tr>
      <w:tr>
        <w:trPr>
          <w:trHeight w:val="80" w:hRule="atLeast"/>
        </w:trPr>
        <w:tc>
          <w:tcPr>
            <w:tcW w:w="4547" w:type="dxa"/>
            <w:tcBorders/>
            <w:shd w:fill="auto" w:val="clear"/>
          </w:tcPr>
          <w:p>
            <w:pPr>
              <w:pStyle w:val="Normal"/>
              <w:spacing w:before="60" w:after="60"/>
              <w:rPr>
                <w:rFonts w:cs="Arial"/>
                <w:b/>
                <w:b/>
              </w:rPr>
            </w:pPr>
            <w:r>
              <w:rPr>
                <w:rFonts w:cs="Arial"/>
                <w:b/>
              </w:rPr>
              <w:t>Job Description prepared by</w:t>
            </w:r>
          </w:p>
        </w:tc>
        <w:tc>
          <w:tcPr>
            <w:tcW w:w="5272" w:type="dxa"/>
            <w:tcBorders/>
            <w:shd w:fill="auto" w:val="clear"/>
          </w:tcPr>
          <w:p>
            <w:pPr>
              <w:pStyle w:val="Normal"/>
              <w:spacing w:before="60" w:after="60"/>
              <w:rPr>
                <w:rFonts w:cs="Arial"/>
              </w:rPr>
            </w:pPr>
            <w:r>
              <w:rPr>
                <w:rFonts w:cs="Arial"/>
              </w:rPr>
              <w:t xml:space="preserve">Director of Adults and Communities   </w:t>
            </w:r>
          </w:p>
        </w:tc>
      </w:tr>
    </w:tbl>
    <w:p>
      <w:pPr>
        <w:sectPr>
          <w:headerReference w:type="default" r:id="rId4"/>
          <w:headerReference w:type="first" r:id="rId5"/>
          <w:footerReference w:type="default" r:id="rId6"/>
          <w:footerReference w:type="first" r:id="rId7"/>
          <w:type w:val="nextPage"/>
          <w:pgSz w:w="11906" w:h="16838"/>
          <w:pgMar w:left="720" w:right="720" w:header="706" w:top="763" w:footer="706" w:bottom="763" w:gutter="0"/>
          <w:pgNumType w:fmt="decimal"/>
          <w:formProt w:val="false"/>
          <w:titlePg/>
          <w:textDirection w:val="lrTb"/>
          <w:docGrid w:type="default" w:linePitch="299" w:charSpace="0"/>
        </w:sectPr>
      </w:pPr>
    </w:p>
    <w:p>
      <w:pPr>
        <w:pStyle w:val="Normal"/>
        <w:rPr>
          <w:rFonts w:cs="Arial"/>
          <w:b/>
          <w:b/>
        </w:rPr>
      </w:pPr>
      <w:r>
        <w:rPr>
          <w:rFonts w:cs="Arial"/>
          <w:b/>
        </w:rPr>
        <mc:AlternateContent>
          <mc:Choice Requires="wps">
            <w:drawing>
              <wp:anchor behindDoc="0" distT="0" distB="0" distL="114935" distR="114935" simplePos="0" locked="0" layoutInCell="1" allowOverlap="1" relativeHeight="3">
                <wp:simplePos x="0" y="0"/>
                <wp:positionH relativeFrom="column">
                  <wp:posOffset>4415155</wp:posOffset>
                </wp:positionH>
                <wp:positionV relativeFrom="paragraph">
                  <wp:posOffset>-421005</wp:posOffset>
                </wp:positionV>
                <wp:extent cx="1732280" cy="868045"/>
                <wp:effectExtent l="0" t="0" r="0" b="0"/>
                <wp:wrapSquare wrapText="bothSides"/>
                <wp:docPr id="9" name="Text Box 3"/>
                <a:graphic xmlns:a="http://schemas.openxmlformats.org/drawingml/2006/main">
                  <a:graphicData uri="http://schemas.microsoft.com/office/word/2010/wordprocessingShape">
                    <wps:wsp>
                      <wps:cNvSpPr/>
                      <wps:spPr>
                        <a:xfrm>
                          <a:off x="0" y="0"/>
                          <a:ext cx="1731600" cy="86724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347.65pt;margin-top:-33.15pt;width:136.3pt;height:68.25pt">
                <w10:wrap type="none"/>
                <v:fill o:detectmouseclick="t" type="solid" color2="black"/>
                <v:stroke color="#3465a4" joinstyle="round" endcap="flat"/>
              </v:rect>
            </w:pict>
          </mc:Fallback>
        </mc:AlternateContent>
      </w:r>
      <w:r>
        <mc:AlternateContent>
          <mc:Choice Requires="wps">
            <w:drawing>
              <wp:anchor behindDoc="0" distT="72390" distB="72390" distL="114300" distR="114300" simplePos="0" locked="0" layoutInCell="1" allowOverlap="1" relativeHeight="10">
                <wp:simplePos x="0" y="0"/>
                <wp:positionH relativeFrom="column">
                  <wp:posOffset>4415155</wp:posOffset>
                </wp:positionH>
                <wp:positionV relativeFrom="paragraph">
                  <wp:posOffset>-421005</wp:posOffset>
                </wp:positionV>
                <wp:extent cx="1731645" cy="776605"/>
                <wp:effectExtent l="0" t="0" r="0" b="0"/>
                <wp:wrapNone/>
                <wp:docPr id="10" name="Frame3"/>
                <a:graphic xmlns:a="http://schemas.openxmlformats.org/drawingml/2006/main">
                  <a:graphicData uri="http://schemas.microsoft.com/office/word/2010/wordprocessingShape">
                    <wps:wsp>
                      <wps:cNvSpPr txBox="1"/>
                      <wps:spPr>
                        <a:xfrm>
                          <a:off x="0" y="0"/>
                          <a:ext cx="1731645" cy="776605"/>
                        </a:xfrm>
                        <a:prstGeom prst="rect"/>
                        <a:solidFill>
                          <a:srgbClr val="FFFFFF"/>
                        </a:solidFill>
                      </wps:spPr>
                      <wps:txbx>
                        <w:txbxContent>
                          <w:p>
                            <w:pPr>
                              <w:pStyle w:val="FrameContents"/>
                              <w:rPr/>
                            </w:pPr>
                            <w:r>
                              <w:rPr/>
                              <w:drawing>
                                <wp:inline distT="0" distB="0" distL="0" distR="0">
                                  <wp:extent cx="1549400" cy="685800"/>
                                  <wp:effectExtent l="0" t="0" r="0" b="0"/>
                                  <wp:docPr id="1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pic:cNvPicPr>
                                            <a:picLocks noChangeAspect="1" noChangeArrowheads="1"/>
                                          </pic:cNvPicPr>
                                        </pic:nvPicPr>
                                        <pic:blipFill>
                                          <a:blip r:embed="rId8"/>
                                          <a:srcRect l="-23" t="-52" r="-23" b="-52"/>
                                          <a:stretch>
                                            <a:fillRect/>
                                          </a:stretch>
                                        </pic:blipFill>
                                        <pic:spPr bwMode="auto">
                                          <a:xfrm>
                                            <a:off x="0" y="0"/>
                                            <a:ext cx="1549400" cy="68580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36.35pt;height:61.15pt;mso-wrap-distance-left:9pt;mso-wrap-distance-right:9pt;mso-wrap-distance-top:5.7pt;mso-wrap-distance-bottom:5.7pt;margin-top:-33.15pt;mso-position-vertical-relative:text;margin-left:347.65pt;mso-position-horizontal-relative:text">
                <v:textbox inset="0.100694444444444in,0.0506944444444444in,0.100694444444444in,0.0506944444444444in">
                  <w:txbxContent>
                    <w:p>
                      <w:pPr>
                        <w:pStyle w:val="FrameContents"/>
                        <w:rPr/>
                      </w:pPr>
                      <w:r>
                        <w:rPr/>
                        <w:drawing>
                          <wp:inline distT="0" distB="0" distL="0" distR="0">
                            <wp:extent cx="1549400" cy="685800"/>
                            <wp:effectExtent l="0" t="0" r="0" b="0"/>
                            <wp:docPr id="1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 descr=""/>
                                    <pic:cNvPicPr>
                                      <a:picLocks noChangeAspect="1" noChangeArrowheads="1"/>
                                    </pic:cNvPicPr>
                                  </pic:nvPicPr>
                                  <pic:blipFill>
                                    <a:blip r:embed="rId8"/>
                                    <a:srcRect l="-23" t="-52" r="-23" b="-52"/>
                                    <a:stretch>
                                      <a:fillRect/>
                                    </a:stretch>
                                  </pic:blipFill>
                                  <pic:spPr bwMode="auto">
                                    <a:xfrm>
                                      <a:off x="0" y="0"/>
                                      <a:ext cx="1549400" cy="685800"/>
                                    </a:xfrm>
                                    <a:prstGeom prst="rect">
                                      <a:avLst/>
                                    </a:prstGeom>
                                  </pic:spPr>
                                </pic:pic>
                              </a:graphicData>
                            </a:graphic>
                          </wp:inline>
                        </w:drawing>
                      </w:r>
                    </w:p>
                  </w:txbxContent>
                </v:textbox>
              </v:rect>
            </w:pict>
          </mc:Fallback>
        </mc:AlternateContent>
      </w:r>
    </w:p>
    <w:p>
      <w:pPr>
        <w:pStyle w:val="Normal"/>
        <w:rPr>
          <w:rFonts w:cs="Arial"/>
          <w:b/>
          <w:b/>
        </w:rPr>
      </w:pPr>
      <w:r>
        <w:rPr>
          <w:rFonts w:cs="Arial"/>
          <w:b/>
        </w:rPr>
        <mc:AlternateContent>
          <mc:Choice Requires="wps">
            <w:drawing>
              <wp:anchor behindDoc="0" distT="0" distB="0" distL="114935" distR="114935" simplePos="0" locked="0" layoutInCell="1" allowOverlap="1" relativeHeight="5">
                <wp:simplePos x="0" y="0"/>
                <wp:positionH relativeFrom="column">
                  <wp:posOffset>-152400</wp:posOffset>
                </wp:positionH>
                <wp:positionV relativeFrom="paragraph">
                  <wp:posOffset>122555</wp:posOffset>
                </wp:positionV>
                <wp:extent cx="3256915" cy="614045"/>
                <wp:effectExtent l="0" t="0" r="0" b="0"/>
                <wp:wrapSquare wrapText="bothSides"/>
                <wp:docPr id="13" name="Text Box 5"/>
                <a:graphic xmlns:a="http://schemas.openxmlformats.org/drawingml/2006/main">
                  <a:graphicData uri="http://schemas.microsoft.com/office/word/2010/wordprocessingShape">
                    <wps:wsp>
                      <wps:cNvSpPr/>
                      <wps:spPr>
                        <a:xfrm>
                          <a:off x="0" y="0"/>
                          <a:ext cx="3256200" cy="61344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5" fillcolor="white" stroked="f" style="position:absolute;margin-left:-12pt;margin-top:9.65pt;width:256.35pt;height:48.25pt">
                <w10:wrap type="none"/>
                <v:fill o:detectmouseclick="t" type="solid" color2="black"/>
                <v:stroke color="#3465a4" joinstyle="round" endcap="flat"/>
              </v:rect>
            </w:pict>
          </mc:Fallback>
        </mc:AlternateContent>
      </w:r>
      <w:r>
        <mc:AlternateContent>
          <mc:Choice Requires="wps">
            <w:drawing>
              <wp:anchor behindDoc="0" distT="72390" distB="72390" distL="114300" distR="115570" simplePos="0" locked="0" layoutInCell="1" allowOverlap="1" relativeHeight="12">
                <wp:simplePos x="0" y="0"/>
                <wp:positionH relativeFrom="column">
                  <wp:posOffset>-152400</wp:posOffset>
                </wp:positionH>
                <wp:positionV relativeFrom="paragraph">
                  <wp:posOffset>122555</wp:posOffset>
                </wp:positionV>
                <wp:extent cx="3256280" cy="522605"/>
                <wp:effectExtent l="0" t="0" r="0" b="0"/>
                <wp:wrapNone/>
                <wp:docPr id="14" name="Frame4"/>
                <a:graphic xmlns:a="http://schemas.openxmlformats.org/drawingml/2006/main">
                  <a:graphicData uri="http://schemas.microsoft.com/office/word/2010/wordprocessingShape">
                    <wps:wsp>
                      <wps:cNvSpPr txBox="1"/>
                      <wps:spPr>
                        <a:xfrm>
                          <a:off x="0" y="0"/>
                          <a:ext cx="3256280" cy="522605"/>
                        </a:xfrm>
                        <a:prstGeom prst="rect"/>
                        <a:solidFill>
                          <a:srgbClr val="FFFFFF"/>
                        </a:solidFill>
                      </wps:spPr>
                      <wps:txbx>
                        <w:txbxContent>
                          <w:p>
                            <w:pPr>
                              <w:pStyle w:val="FrameContents"/>
                              <w:rPr/>
                            </w:pPr>
                            <w:r>
                              <w:rPr/>
                              <w:drawing>
                                <wp:inline distT="0" distB="0" distL="0" distR="0">
                                  <wp:extent cx="3074035" cy="431165"/>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descr=""/>
                                          <pic:cNvPicPr>
                                            <a:picLocks noChangeAspect="1" noChangeArrowheads="1"/>
                                          </pic:cNvPicPr>
                                        </pic:nvPicPr>
                                        <pic:blipFill>
                                          <a:blip r:embed="rId9"/>
                                          <a:srcRect l="-12" t="-84" r="-12" b="-84"/>
                                          <a:stretch>
                                            <a:fillRect/>
                                          </a:stretch>
                                        </pic:blipFill>
                                        <pic:spPr bwMode="auto">
                                          <a:xfrm>
                                            <a:off x="0" y="0"/>
                                            <a:ext cx="3074035" cy="43116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256.4pt;height:41.15pt;mso-wrap-distance-left:9pt;mso-wrap-distance-right:9.1pt;mso-wrap-distance-top:5.7pt;mso-wrap-distance-bottom:5.7pt;margin-top:9.65pt;mso-position-vertical-relative:text;margin-left:-12pt;mso-position-horizontal-relative:text">
                <v:textbox inset="0.100694444444444in,0.0506944444444444in,0.100694444444444in,0.0506944444444444in">
                  <w:txbxContent>
                    <w:p>
                      <w:pPr>
                        <w:pStyle w:val="FrameContents"/>
                        <w:rPr/>
                      </w:pPr>
                      <w:r>
                        <w:rPr/>
                        <w:drawing>
                          <wp:inline distT="0" distB="0" distL="0" distR="0">
                            <wp:extent cx="3074035" cy="431165"/>
                            <wp:effectExtent l="0" t="0" r="0" b="0"/>
                            <wp:docPr id="1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 descr=""/>
                                    <pic:cNvPicPr>
                                      <a:picLocks noChangeAspect="1" noChangeArrowheads="1"/>
                                    </pic:cNvPicPr>
                                  </pic:nvPicPr>
                                  <pic:blipFill>
                                    <a:blip r:embed="rId9"/>
                                    <a:srcRect l="-12" t="-84" r="-12" b="-84"/>
                                    <a:stretch>
                                      <a:fillRect/>
                                    </a:stretch>
                                  </pic:blipFill>
                                  <pic:spPr bwMode="auto">
                                    <a:xfrm>
                                      <a:off x="0" y="0"/>
                                      <a:ext cx="3074035" cy="431165"/>
                                    </a:xfrm>
                                    <a:prstGeom prst="rect">
                                      <a:avLst/>
                                    </a:prstGeom>
                                  </pic:spPr>
                                </pic:pic>
                              </a:graphicData>
                            </a:graphic>
                          </wp:inline>
                        </w:drawing>
                      </w:r>
                    </w:p>
                  </w:txbxContent>
                </v:textbox>
              </v:rect>
            </w:pict>
          </mc:Fallback>
        </mc:AlternateContent>
      </w:r>
    </w:p>
    <w:p>
      <w:pPr>
        <w:pStyle w:val="Normal"/>
        <w:rPr>
          <w:rFonts w:cs="Arial"/>
          <w:b/>
          <w:b/>
        </w:rPr>
      </w:pPr>
      <w:r>
        <w:rPr>
          <w:rFonts w:cs="Arial"/>
          <w:b/>
        </w:rPr>
      </w:r>
    </w:p>
    <w:p>
      <w:pPr>
        <w:pStyle w:val="Normal"/>
        <w:rPr>
          <w:rFonts w:cs="Arial"/>
          <w:b/>
          <w:b/>
        </w:rPr>
      </w:pPr>
      <w:r>
        <w:rPr>
          <w:rFonts w:cs="Arial"/>
          <w:b/>
        </w:rPr>
      </w:r>
    </w:p>
    <w:p>
      <w:pPr>
        <w:pStyle w:val="Normal"/>
        <w:rPr>
          <w:rFonts w:cs="Arial"/>
          <w:b/>
          <w:b/>
        </w:rPr>
      </w:pPr>
      <w:r>
        <w:rPr>
          <w:rFonts w:cs="Arial"/>
          <w:b/>
        </w:rPr>
      </w:r>
    </w:p>
    <w:p>
      <w:pPr>
        <w:pStyle w:val="Normal"/>
        <w:rPr>
          <w:rFonts w:cs="Arial"/>
          <w:b/>
          <w:b/>
        </w:rPr>
      </w:pPr>
      <w:r>
        <w:rPr>
          <w:rFonts w:cs="Arial"/>
          <w:b/>
        </w:rPr>
      </w:r>
    </w:p>
    <w:tbl>
      <w:tblPr>
        <w:tblW w:w="9707" w:type="dxa"/>
        <w:jc w:val="left"/>
        <w:tblInd w:w="0" w:type="dxa"/>
        <w:tblCellMar>
          <w:top w:w="0" w:type="dxa"/>
          <w:left w:w="108" w:type="dxa"/>
          <w:bottom w:w="0" w:type="dxa"/>
          <w:right w:w="108" w:type="dxa"/>
        </w:tblCellMar>
      </w:tblPr>
      <w:tblGrid>
        <w:gridCol w:w="1667"/>
        <w:gridCol w:w="8040"/>
      </w:tblGrid>
      <w:tr>
        <w:trPr>
          <w:trHeight w:val="333" w:hRule="atLeast"/>
        </w:trPr>
        <w:tc>
          <w:tcPr>
            <w:tcW w:w="1667" w:type="dxa"/>
            <w:tcBorders/>
            <w:shd w:fill="auto" w:val="clear"/>
          </w:tcPr>
          <w:p>
            <w:pPr>
              <w:pStyle w:val="Normal"/>
              <w:spacing w:before="60" w:after="60"/>
              <w:rPr>
                <w:rFonts w:cs="Arial"/>
                <w:b/>
                <w:b/>
              </w:rPr>
            </w:pPr>
            <w:r>
              <w:rPr>
                <w:rFonts w:cs="Arial"/>
                <w:b/>
              </w:rPr>
              <w:t>Job Title</w:t>
            </w:r>
          </w:p>
        </w:tc>
        <w:tc>
          <w:tcPr>
            <w:tcW w:w="8040" w:type="dxa"/>
            <w:tcBorders/>
            <w:shd w:fill="auto" w:val="clear"/>
          </w:tcPr>
          <w:p>
            <w:pPr>
              <w:pStyle w:val="Normal"/>
              <w:spacing w:before="60" w:after="60"/>
              <w:rPr>
                <w:rFonts w:cs="Arial"/>
                <w:b/>
                <w:b/>
                <w:caps/>
              </w:rPr>
            </w:pPr>
            <w:r>
              <w:rPr>
                <w:rFonts w:cs="Arial"/>
                <w:b/>
                <w:caps/>
              </w:rPr>
              <w:t>Assistant Director Adults, Communities Commissioning</w:t>
            </w:r>
          </w:p>
        </w:tc>
      </w:tr>
    </w:tbl>
    <w:p>
      <w:pPr>
        <w:pStyle w:val="Normal"/>
        <w:rPr>
          <w:rFonts w:cs="Arial"/>
        </w:rPr>
      </w:pPr>
      <w:r>
        <w:rPr>
          <w:rFonts w:cs="Arial"/>
        </w:rPr>
      </w:r>
    </w:p>
    <w:tbl>
      <w:tblPr>
        <w:tblW w:w="9707" w:type="dxa"/>
        <w:jc w:val="left"/>
        <w:tblInd w:w="0" w:type="dxa"/>
        <w:tblCellMar>
          <w:top w:w="0" w:type="dxa"/>
          <w:left w:w="108" w:type="dxa"/>
          <w:bottom w:w="0" w:type="dxa"/>
          <w:right w:w="108" w:type="dxa"/>
        </w:tblCellMar>
      </w:tblPr>
      <w:tblGrid>
        <w:gridCol w:w="1383"/>
        <w:gridCol w:w="8324"/>
      </w:tblGrid>
      <w:tr>
        <w:trPr/>
        <w:tc>
          <w:tcPr>
            <w:tcW w:w="1383" w:type="dxa"/>
            <w:tcBorders/>
            <w:shd w:fill="auto" w:val="clear"/>
          </w:tcPr>
          <w:p>
            <w:pPr>
              <w:pStyle w:val="Normal"/>
              <w:spacing w:before="60" w:after="60"/>
              <w:rPr>
                <w:rFonts w:cs="Arial"/>
                <w:b/>
                <w:b/>
              </w:rPr>
            </w:pPr>
            <w:r>
              <w:rPr>
                <w:rFonts w:cs="Arial"/>
                <w:b/>
              </w:rPr>
              <w:t>Stage One</w:t>
            </w:r>
          </w:p>
        </w:tc>
        <w:tc>
          <w:tcPr>
            <w:tcW w:w="8324" w:type="dxa"/>
            <w:tcBorders/>
            <w:shd w:fill="auto" w:val="clear"/>
          </w:tcPr>
          <w:p>
            <w:pPr>
              <w:pStyle w:val="Normal"/>
              <w:spacing w:before="60" w:after="60"/>
              <w:rPr>
                <w:rFonts w:cs="Arial"/>
              </w:rPr>
            </w:pPr>
            <w:r>
              <w:rPr>
                <w:rFonts w:cs="Arial"/>
              </w:rPr>
              <w:t>Disabled Candidates are guaranteed an interview if they meet the essential criteria</w:t>
            </w:r>
          </w:p>
        </w:tc>
      </w:tr>
    </w:tbl>
    <w:p>
      <w:pPr>
        <w:pStyle w:val="Normal"/>
        <w:rPr/>
      </w:pPr>
      <w:r>
        <w:rPr/>
      </w:r>
    </w:p>
    <w:tbl>
      <w:tblPr>
        <w:tblW w:w="9718" w:type="dxa"/>
        <w:jc w:val="left"/>
        <w:tblInd w:w="0" w:type="dxa"/>
        <w:tblCellMar>
          <w:top w:w="0" w:type="dxa"/>
          <w:left w:w="108" w:type="dxa"/>
          <w:bottom w:w="0" w:type="dxa"/>
          <w:right w:w="108" w:type="dxa"/>
        </w:tblCellMar>
      </w:tblPr>
      <w:tblGrid>
        <w:gridCol w:w="704"/>
        <w:gridCol w:w="5780"/>
        <w:gridCol w:w="3234"/>
      </w:tblGrid>
      <w:tr>
        <w:trPr>
          <w:tblHeader w:val="true"/>
        </w:trPr>
        <w:tc>
          <w:tcPr>
            <w:tcW w:w="6484" w:type="dxa"/>
            <w:gridSpan w:val="2"/>
            <w:tcBorders>
              <w:top w:val="single" w:sz="4" w:space="0" w:color="000000"/>
              <w:left w:val="single" w:sz="4" w:space="0" w:color="000000"/>
            </w:tcBorders>
            <w:shd w:fill="000000" w:val="clear"/>
          </w:tcPr>
          <w:p>
            <w:pPr>
              <w:pStyle w:val="Normal"/>
              <w:spacing w:before="60" w:after="60"/>
              <w:rPr>
                <w:rFonts w:cs="Arial"/>
                <w:b/>
                <w:b/>
                <w:color w:val="FFFFFF"/>
              </w:rPr>
            </w:pPr>
            <w:r>
              <w:rPr>
                <w:rFonts w:cs="Arial"/>
                <w:b/>
                <w:color w:val="FFFFFF"/>
              </w:rPr>
              <w:t>The Minimum Essential Requirements for the above Post are as Follows:</w:t>
            </w:r>
          </w:p>
        </w:tc>
        <w:tc>
          <w:tcPr>
            <w:tcW w:w="3234" w:type="dxa"/>
            <w:tcBorders>
              <w:top w:val="single" w:sz="4" w:space="0" w:color="000000"/>
              <w:left w:val="single" w:sz="4" w:space="0" w:color="000000"/>
              <w:right w:val="single" w:sz="4" w:space="0" w:color="000000"/>
            </w:tcBorders>
            <w:shd w:fill="000000" w:val="clear"/>
          </w:tcPr>
          <w:p>
            <w:pPr>
              <w:pStyle w:val="Normal"/>
              <w:spacing w:before="60" w:after="60"/>
              <w:rPr>
                <w:rFonts w:cs="Arial"/>
                <w:b/>
                <w:b/>
                <w:color w:val="FFFFFF"/>
              </w:rPr>
            </w:pPr>
            <w:r>
              <w:rPr>
                <w:rFonts w:cs="Arial"/>
                <w:b/>
                <w:color w:val="FFFFFF"/>
              </w:rPr>
              <w:t>Method of Assessment</w:t>
            </w:r>
          </w:p>
        </w:tc>
      </w:tr>
      <w:tr>
        <w:trPr>
          <w:trHeight w:val="539" w:hRule="atLeast"/>
          <w:cantSplit w:val="true"/>
        </w:trPr>
        <w:tc>
          <w:tcPr>
            <w:tcW w:w="704" w:type="dxa"/>
            <w:tcBorders>
              <w:left w:val="single" w:sz="4" w:space="0" w:color="000000"/>
              <w:bottom w:val="single" w:sz="4" w:space="0" w:color="000000"/>
            </w:tcBorders>
            <w:shd w:fill="D9D9D9" w:val="clear"/>
          </w:tcPr>
          <w:p>
            <w:pPr>
              <w:pStyle w:val="Normal"/>
              <w:spacing w:before="60" w:after="60"/>
              <w:rPr>
                <w:rFonts w:cs="Arial"/>
                <w:b/>
                <w:b/>
              </w:rPr>
            </w:pPr>
            <w:r>
              <w:rPr>
                <w:rFonts w:cs="Arial"/>
                <w:b/>
              </w:rPr>
              <w:t>1.</w:t>
            </w:r>
          </w:p>
        </w:tc>
        <w:tc>
          <w:tcPr>
            <w:tcW w:w="9014" w:type="dxa"/>
            <w:gridSpan w:val="2"/>
            <w:tcBorders>
              <w:bottom w:val="single" w:sz="4" w:space="0" w:color="000000"/>
              <w:right w:val="single" w:sz="4" w:space="0" w:color="000000"/>
            </w:tcBorders>
            <w:shd w:fill="D9D9D9" w:val="clear"/>
          </w:tcPr>
          <w:p>
            <w:pPr>
              <w:pStyle w:val="Normal"/>
              <w:spacing w:before="60" w:after="60"/>
              <w:rPr>
                <w:rFonts w:cs="Arial"/>
                <w:b/>
                <w:b/>
              </w:rPr>
            </w:pPr>
            <w:r>
              <w:rPr>
                <w:rFonts w:cs="Arial"/>
                <w:b/>
              </w:rPr>
              <w:t xml:space="preserve">Knowledge and Skills </w:t>
            </w:r>
          </w:p>
        </w:tc>
      </w:tr>
      <w:tr>
        <w:trPr>
          <w:cantSplit w:val="true"/>
        </w:trPr>
        <w:tc>
          <w:tcPr>
            <w:tcW w:w="704" w:type="dxa"/>
            <w:tcBorders>
              <w:top w:val="single" w:sz="4" w:space="0" w:color="000000"/>
              <w:left w:val="single" w:sz="4" w:space="0" w:color="000000"/>
              <w:bottom w:val="single" w:sz="4" w:space="0" w:color="000000"/>
            </w:tcBorders>
            <w:shd w:fill="auto" w:val="clear"/>
          </w:tcPr>
          <w:p>
            <w:pPr>
              <w:pStyle w:val="Normal"/>
              <w:numPr>
                <w:ilvl w:val="0"/>
                <w:numId w:val="2"/>
              </w:numPr>
              <w:snapToGrid w:val="false"/>
              <w:spacing w:before="120" w:after="120"/>
              <w:rPr>
                <w:rFonts w:cs="Arial"/>
              </w:rPr>
            </w:pPr>
            <w:r>
              <w:rPr>
                <w:rFonts w:cs="Arial"/>
              </w:rPr>
            </w:r>
          </w:p>
        </w:tc>
        <w:tc>
          <w:tcPr>
            <w:tcW w:w="5780" w:type="dxa"/>
            <w:tcBorders>
              <w:top w:val="single" w:sz="4" w:space="0" w:color="000000"/>
              <w:bottom w:val="single" w:sz="4" w:space="0" w:color="000000"/>
            </w:tcBorders>
            <w:shd w:fill="auto" w:val="clear"/>
          </w:tcPr>
          <w:p>
            <w:pPr>
              <w:pStyle w:val="Normal"/>
              <w:spacing w:before="120" w:after="120"/>
              <w:ind w:left="0" w:right="175" w:hanging="0"/>
              <w:rPr/>
            </w:pPr>
            <w:r>
              <w:rPr>
                <w:rFonts w:cs="Arial"/>
              </w:rPr>
              <w:t xml:space="preserve">In depth knowledge of social care </w:t>
            </w:r>
            <w:r>
              <w:rPr>
                <w:rFonts w:cs="Arial"/>
                <w:lang w:eastAsia="en-GB"/>
              </w:rPr>
              <w:t>and a</w:t>
            </w:r>
            <w:r>
              <w:rPr>
                <w:rFonts w:cs="Arial"/>
              </w:rPr>
              <w:t xml:space="preserve"> clear understanding of the legislation and statutory framework impacting on adults.</w:t>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cs="Arial"/>
              </w:rPr>
            </w:pPr>
            <w:r>
              <w:rPr>
                <w:rFonts w:cs="Arial"/>
              </w:rPr>
              <w:t>Application / Interview / Assessment</w:t>
            </w:r>
          </w:p>
        </w:tc>
      </w:tr>
      <w:tr>
        <w:trPr>
          <w:cantSplit w:val="true"/>
        </w:trPr>
        <w:tc>
          <w:tcPr>
            <w:tcW w:w="704" w:type="dxa"/>
            <w:tcBorders>
              <w:top w:val="single" w:sz="4" w:space="0" w:color="000000"/>
              <w:left w:val="single" w:sz="4" w:space="0" w:color="000000"/>
              <w:bottom w:val="single" w:sz="4" w:space="0" w:color="000000"/>
            </w:tcBorders>
            <w:shd w:fill="auto" w:val="clear"/>
          </w:tcPr>
          <w:p>
            <w:pPr>
              <w:pStyle w:val="Normal"/>
              <w:numPr>
                <w:ilvl w:val="0"/>
                <w:numId w:val="2"/>
              </w:numPr>
              <w:snapToGrid w:val="false"/>
              <w:spacing w:before="120" w:after="120"/>
              <w:rPr>
                <w:rFonts w:cs="Arial"/>
              </w:rPr>
            </w:pPr>
            <w:r>
              <w:rPr>
                <w:rFonts w:cs="Arial"/>
              </w:rPr>
            </w:r>
          </w:p>
        </w:tc>
        <w:tc>
          <w:tcPr>
            <w:tcW w:w="5780" w:type="dxa"/>
            <w:tcBorders>
              <w:top w:val="single" w:sz="4" w:space="0" w:color="000000"/>
              <w:bottom w:val="single" w:sz="4" w:space="0" w:color="000000"/>
            </w:tcBorders>
            <w:shd w:fill="auto" w:val="clear"/>
          </w:tcPr>
          <w:p>
            <w:pPr>
              <w:pStyle w:val="Normal"/>
              <w:snapToGrid w:val="false"/>
              <w:spacing w:lineRule="auto" w:line="240" w:before="0" w:after="0"/>
              <w:ind w:left="64" w:right="0" w:hanging="0"/>
              <w:contextualSpacing/>
              <w:rPr>
                <w:rFonts w:cs="Arial"/>
              </w:rPr>
            </w:pPr>
            <w:r>
              <w:rPr>
                <w:rFonts w:cs="Arial"/>
              </w:rPr>
            </w:r>
          </w:p>
          <w:p>
            <w:pPr>
              <w:pStyle w:val="Normal"/>
              <w:spacing w:lineRule="auto" w:line="240" w:before="0" w:after="0"/>
              <w:ind w:left="64" w:right="0" w:hanging="0"/>
              <w:contextualSpacing/>
              <w:rPr>
                <w:rFonts w:cs="Arial"/>
              </w:rPr>
            </w:pPr>
            <w:r>
              <w:rPr>
                <w:rFonts w:cs="Arial"/>
              </w:rPr>
              <w:t>Demonstrate ability to manage positive, constructive productive relationships between the Council, the ICB, VCSE, its partners, local communities, and citizens.</w:t>
            </w:r>
          </w:p>
          <w:p>
            <w:pPr>
              <w:pStyle w:val="Normal"/>
              <w:spacing w:lineRule="auto" w:line="240" w:before="0" w:after="0"/>
              <w:ind w:left="64" w:right="0" w:hanging="0"/>
              <w:contextualSpacing/>
              <w:rPr>
                <w:rFonts w:cs="Arial"/>
              </w:rPr>
            </w:pPr>
            <w:r>
              <w:rPr>
                <w:rFonts w:cs="Arial"/>
              </w:rPr>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rPr>
            </w:pPr>
            <w:r>
              <w:rPr>
                <w:rFonts w:cs="Arial"/>
              </w:rPr>
              <w:t>Application / Interview / Assessment</w:t>
            </w:r>
          </w:p>
        </w:tc>
      </w:tr>
      <w:tr>
        <w:trPr>
          <w:cantSplit w:val="true"/>
        </w:trPr>
        <w:tc>
          <w:tcPr>
            <w:tcW w:w="704" w:type="dxa"/>
            <w:tcBorders>
              <w:top w:val="single" w:sz="4" w:space="0" w:color="000000"/>
              <w:left w:val="single" w:sz="4" w:space="0" w:color="000000"/>
              <w:bottom w:val="single" w:sz="4" w:space="0" w:color="000000"/>
            </w:tcBorders>
            <w:shd w:fill="auto" w:val="clear"/>
          </w:tcPr>
          <w:p>
            <w:pPr>
              <w:pStyle w:val="Normal"/>
              <w:numPr>
                <w:ilvl w:val="0"/>
                <w:numId w:val="2"/>
              </w:numPr>
              <w:spacing w:before="120" w:after="120"/>
              <w:rPr>
                <w:rFonts w:cs="Arial"/>
              </w:rPr>
            </w:pPr>
            <w:r>
              <w:rPr>
                <w:rFonts w:cs="Arial"/>
              </w:rPr>
              <w:t>3.</w:t>
            </w:r>
          </w:p>
        </w:tc>
        <w:tc>
          <w:tcPr>
            <w:tcW w:w="5780" w:type="dxa"/>
            <w:tcBorders>
              <w:top w:val="single" w:sz="4" w:space="0" w:color="000000"/>
              <w:bottom w:val="single" w:sz="4" w:space="0" w:color="000000"/>
            </w:tcBorders>
            <w:shd w:fill="auto" w:val="clear"/>
          </w:tcPr>
          <w:p>
            <w:pPr>
              <w:pStyle w:val="Normal"/>
              <w:spacing w:before="120" w:after="120"/>
              <w:ind w:left="0" w:right="175" w:hanging="0"/>
              <w:rPr>
                <w:rFonts w:cs="Arial"/>
              </w:rPr>
            </w:pPr>
            <w:r>
              <w:rPr>
                <w:rFonts w:cs="Arial"/>
              </w:rPr>
              <w:t>Able to demonstrate effective budget management and control, including business and strategic planning</w:t>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rPr>
            </w:pPr>
            <w:r>
              <w:rPr>
                <w:rFonts w:cs="Arial"/>
              </w:rPr>
              <w:t>Application / Interview / Assessment</w:t>
            </w:r>
          </w:p>
        </w:tc>
      </w:tr>
      <w:tr>
        <w:trPr>
          <w:cantSplit w:val="true"/>
        </w:trPr>
        <w:tc>
          <w:tcPr>
            <w:tcW w:w="704" w:type="dxa"/>
            <w:tcBorders>
              <w:left w:val="single" w:sz="4" w:space="0" w:color="000000"/>
              <w:bottom w:val="single" w:sz="4" w:space="0" w:color="000000"/>
            </w:tcBorders>
            <w:shd w:fill="auto" w:val="clear"/>
          </w:tcPr>
          <w:p>
            <w:pPr>
              <w:pStyle w:val="Normal"/>
              <w:numPr>
                <w:ilvl w:val="0"/>
                <w:numId w:val="2"/>
              </w:numPr>
              <w:snapToGrid w:val="false"/>
              <w:spacing w:before="120" w:after="120"/>
              <w:rPr>
                <w:rFonts w:cs="Arial"/>
              </w:rPr>
            </w:pPr>
            <w:r>
              <w:rPr>
                <w:rFonts w:cs="Arial"/>
              </w:rPr>
            </w:r>
          </w:p>
        </w:tc>
        <w:tc>
          <w:tcPr>
            <w:tcW w:w="5780" w:type="dxa"/>
            <w:tcBorders>
              <w:bottom w:val="single" w:sz="4" w:space="0" w:color="000000"/>
            </w:tcBorders>
            <w:shd w:fill="auto" w:val="clear"/>
          </w:tcPr>
          <w:p>
            <w:pPr>
              <w:pStyle w:val="Normal"/>
              <w:spacing w:before="120" w:after="120"/>
              <w:ind w:left="0" w:right="175" w:hanging="0"/>
              <w:rPr>
                <w:rFonts w:cs="Arial"/>
              </w:rPr>
            </w:pPr>
            <w:r>
              <w:rPr>
                <w:rFonts w:cs="Arial"/>
              </w:rPr>
              <w:t>A good understanding of political processes, of managing politically sensitive issues and of providing clear, balanced advice to senior officers, Elected Members and partner organisations</w:t>
            </w:r>
          </w:p>
        </w:tc>
        <w:tc>
          <w:tcPr>
            <w:tcW w:w="3234" w:type="dxa"/>
            <w:tcBorders>
              <w:left w:val="single" w:sz="4" w:space="0" w:color="000000"/>
              <w:bottom w:val="single" w:sz="4" w:space="0" w:color="000000"/>
              <w:right w:val="single" w:sz="4" w:space="0" w:color="000000"/>
            </w:tcBorders>
            <w:shd w:fill="auto" w:val="clear"/>
          </w:tcPr>
          <w:p>
            <w:pPr>
              <w:pStyle w:val="Normal"/>
              <w:rPr>
                <w:rFonts w:cs="Arial"/>
              </w:rPr>
            </w:pPr>
            <w:r>
              <w:rPr>
                <w:rFonts w:cs="Arial"/>
              </w:rPr>
              <w:t>Application / Interview / Assessment</w:t>
            </w:r>
          </w:p>
        </w:tc>
      </w:tr>
      <w:tr>
        <w:trPr>
          <w:cantSplit w:val="true"/>
        </w:trPr>
        <w:tc>
          <w:tcPr>
            <w:tcW w:w="704" w:type="dxa"/>
            <w:tcBorders>
              <w:left w:val="single" w:sz="4" w:space="0" w:color="000000"/>
              <w:bottom w:val="single" w:sz="4" w:space="0" w:color="000000"/>
            </w:tcBorders>
            <w:shd w:fill="auto" w:val="clear"/>
          </w:tcPr>
          <w:p>
            <w:pPr>
              <w:pStyle w:val="Normal"/>
              <w:numPr>
                <w:ilvl w:val="0"/>
                <w:numId w:val="2"/>
              </w:numPr>
              <w:snapToGrid w:val="false"/>
              <w:spacing w:before="120" w:after="120"/>
              <w:rPr>
                <w:rFonts w:cs="Arial"/>
              </w:rPr>
            </w:pPr>
            <w:r>
              <w:rPr>
                <w:rFonts w:cs="Arial"/>
              </w:rPr>
            </w:r>
          </w:p>
        </w:tc>
        <w:tc>
          <w:tcPr>
            <w:tcW w:w="5780" w:type="dxa"/>
            <w:tcBorders>
              <w:bottom w:val="single" w:sz="4" w:space="0" w:color="000000"/>
            </w:tcBorders>
            <w:shd w:fill="auto" w:val="clear"/>
          </w:tcPr>
          <w:p>
            <w:pPr>
              <w:pStyle w:val="Normal"/>
              <w:spacing w:before="120" w:after="120"/>
              <w:ind w:left="0" w:right="175" w:hanging="0"/>
              <w:rPr>
                <w:rFonts w:cs="Arial"/>
              </w:rPr>
            </w:pPr>
            <w:r>
              <w:rPr>
                <w:rFonts w:cs="Arial"/>
              </w:rPr>
              <w:t>An understanding of the implications of service delivery for diverse and excluded individuals and communities</w:t>
            </w:r>
          </w:p>
        </w:tc>
        <w:tc>
          <w:tcPr>
            <w:tcW w:w="3234" w:type="dxa"/>
            <w:tcBorders>
              <w:left w:val="single" w:sz="4" w:space="0" w:color="000000"/>
              <w:bottom w:val="single" w:sz="4" w:space="0" w:color="000000"/>
              <w:right w:val="single" w:sz="4" w:space="0" w:color="000000"/>
            </w:tcBorders>
            <w:shd w:fill="auto" w:val="clear"/>
          </w:tcPr>
          <w:p>
            <w:pPr>
              <w:pStyle w:val="Normal"/>
              <w:rPr>
                <w:rFonts w:cs="Arial"/>
              </w:rPr>
            </w:pPr>
            <w:r>
              <w:rPr>
                <w:rFonts w:cs="Arial"/>
              </w:rPr>
              <w:t>Application / Interview / Assessment</w:t>
            </w:r>
          </w:p>
        </w:tc>
      </w:tr>
      <w:tr>
        <w:trPr>
          <w:cantSplit w:val="true"/>
        </w:trPr>
        <w:tc>
          <w:tcPr>
            <w:tcW w:w="704" w:type="dxa"/>
            <w:tcBorders>
              <w:left w:val="single" w:sz="4" w:space="0" w:color="000000"/>
              <w:bottom w:val="single" w:sz="4" w:space="0" w:color="000000"/>
            </w:tcBorders>
            <w:shd w:fill="auto" w:val="clear"/>
          </w:tcPr>
          <w:p>
            <w:pPr>
              <w:pStyle w:val="Normal"/>
              <w:numPr>
                <w:ilvl w:val="0"/>
                <w:numId w:val="2"/>
              </w:numPr>
              <w:spacing w:before="120" w:after="120"/>
              <w:rPr>
                <w:rFonts w:cs="Arial"/>
              </w:rPr>
            </w:pPr>
            <w:r>
              <w:rPr>
                <w:rFonts w:cs="Arial"/>
              </w:rPr>
              <w:t>4.</w:t>
            </w:r>
          </w:p>
        </w:tc>
        <w:tc>
          <w:tcPr>
            <w:tcW w:w="5780" w:type="dxa"/>
            <w:tcBorders>
              <w:bottom w:val="single" w:sz="4" w:space="0" w:color="000000"/>
            </w:tcBorders>
            <w:shd w:fill="auto" w:val="clear"/>
          </w:tcPr>
          <w:p>
            <w:pPr>
              <w:pStyle w:val="Normal"/>
              <w:spacing w:before="120" w:after="120"/>
              <w:ind w:left="0" w:right="175" w:hanging="0"/>
              <w:rPr>
                <w:rFonts w:cs="Arial"/>
              </w:rPr>
            </w:pPr>
            <w:r>
              <w:rPr>
                <w:rFonts w:cs="Arial"/>
              </w:rPr>
              <w:t>Ability to effectively managing service change and associated risks whilst improving performance in a demanding and politically sensitive environment</w:t>
            </w:r>
          </w:p>
        </w:tc>
        <w:tc>
          <w:tcPr>
            <w:tcW w:w="3234" w:type="dxa"/>
            <w:tcBorders>
              <w:left w:val="single" w:sz="4" w:space="0" w:color="000000"/>
              <w:bottom w:val="single" w:sz="4" w:space="0" w:color="000000"/>
              <w:right w:val="single" w:sz="4" w:space="0" w:color="000000"/>
            </w:tcBorders>
            <w:shd w:fill="auto" w:val="clear"/>
          </w:tcPr>
          <w:p>
            <w:pPr>
              <w:pStyle w:val="Normal"/>
              <w:spacing w:before="120" w:after="120"/>
              <w:rPr>
                <w:rFonts w:cs="Arial"/>
              </w:rPr>
            </w:pPr>
            <w:r>
              <w:rPr>
                <w:rFonts w:cs="Arial"/>
              </w:rPr>
              <w:t>Application / Interview / Assessment</w:t>
            </w:r>
          </w:p>
        </w:tc>
      </w:tr>
      <w:tr>
        <w:trPr>
          <w:cantSplit w:val="true"/>
        </w:trPr>
        <w:tc>
          <w:tcPr>
            <w:tcW w:w="704" w:type="dxa"/>
            <w:tcBorders>
              <w:left w:val="single" w:sz="4" w:space="0" w:color="000000"/>
              <w:bottom w:val="single" w:sz="4" w:space="0" w:color="000000"/>
            </w:tcBorders>
            <w:shd w:fill="auto" w:val="clear"/>
          </w:tcPr>
          <w:p>
            <w:pPr>
              <w:pStyle w:val="ListParagraph"/>
              <w:numPr>
                <w:ilvl w:val="0"/>
                <w:numId w:val="2"/>
              </w:numPr>
              <w:snapToGrid w:val="false"/>
              <w:spacing w:before="120" w:after="120"/>
              <w:rPr>
                <w:rFonts w:cs="Arial"/>
              </w:rPr>
            </w:pPr>
            <w:r>
              <w:rPr>
                <w:rFonts w:cs="Arial"/>
              </w:rPr>
            </w:r>
          </w:p>
        </w:tc>
        <w:tc>
          <w:tcPr>
            <w:tcW w:w="5780" w:type="dxa"/>
            <w:tcBorders>
              <w:bottom w:val="single" w:sz="4" w:space="0" w:color="000000"/>
            </w:tcBorders>
            <w:shd w:fill="auto" w:val="clear"/>
          </w:tcPr>
          <w:p>
            <w:pPr>
              <w:pStyle w:val="Normal"/>
              <w:snapToGrid w:val="false"/>
              <w:spacing w:lineRule="auto" w:line="240"/>
              <w:rPr>
                <w:rFonts w:cs="Arial"/>
                <w:lang w:eastAsia="en-GB"/>
              </w:rPr>
            </w:pPr>
            <w:r>
              <w:rPr>
                <w:rFonts w:cs="Arial"/>
                <w:lang w:eastAsia="en-GB"/>
              </w:rPr>
            </w:r>
          </w:p>
          <w:p>
            <w:pPr>
              <w:pStyle w:val="Normal"/>
              <w:spacing w:lineRule="auto" w:line="240"/>
              <w:rPr>
                <w:rFonts w:cs="Arial"/>
                <w:lang w:eastAsia="en-GB"/>
              </w:rPr>
            </w:pPr>
            <w:r>
              <w:rPr>
                <w:rFonts w:cs="Arial"/>
                <w:lang w:eastAsia="en-GB"/>
              </w:rPr>
              <w:t xml:space="preserve">Ability to develop capacity through organisational and workforce planning and Business development.  </w:t>
            </w:r>
          </w:p>
          <w:p>
            <w:pPr>
              <w:pStyle w:val="Normal"/>
              <w:spacing w:lineRule="auto" w:line="240"/>
              <w:rPr>
                <w:rFonts w:cs="Arial"/>
              </w:rPr>
            </w:pPr>
            <w:r>
              <w:rPr>
                <w:rFonts w:cs="Arial"/>
              </w:rPr>
            </w:r>
          </w:p>
        </w:tc>
        <w:tc>
          <w:tcPr>
            <w:tcW w:w="3234" w:type="dxa"/>
            <w:tcBorders>
              <w:left w:val="single" w:sz="4" w:space="0" w:color="000000"/>
              <w:bottom w:val="single" w:sz="4" w:space="0" w:color="000000"/>
              <w:right w:val="single" w:sz="4" w:space="0" w:color="000000"/>
            </w:tcBorders>
            <w:shd w:fill="auto" w:val="clear"/>
          </w:tcPr>
          <w:p>
            <w:pPr>
              <w:pStyle w:val="Normal"/>
              <w:spacing w:before="120" w:after="120"/>
              <w:rPr>
                <w:rFonts w:cs="Arial"/>
              </w:rPr>
            </w:pPr>
            <w:r>
              <w:rPr>
                <w:rFonts w:cs="Arial"/>
              </w:rPr>
              <w:t>Application / Interview / Assessment</w:t>
            </w:r>
          </w:p>
        </w:tc>
      </w:tr>
      <w:tr>
        <w:trPr>
          <w:cantSplit w:val="true"/>
        </w:trPr>
        <w:tc>
          <w:tcPr>
            <w:tcW w:w="704" w:type="dxa"/>
            <w:tcBorders>
              <w:left w:val="single" w:sz="4" w:space="0" w:color="000000"/>
              <w:bottom w:val="single" w:sz="4" w:space="0" w:color="000000"/>
            </w:tcBorders>
            <w:shd w:fill="auto" w:val="clear"/>
          </w:tcPr>
          <w:p>
            <w:pPr>
              <w:pStyle w:val="Normal"/>
              <w:snapToGrid w:val="false"/>
              <w:spacing w:before="120" w:after="120"/>
              <w:ind w:left="360" w:right="0" w:hanging="0"/>
              <w:rPr>
                <w:rFonts w:cs="Arial"/>
              </w:rPr>
            </w:pPr>
            <w:r>
              <w:rPr>
                <w:rFonts w:cs="Arial"/>
              </w:rPr>
            </w:r>
          </w:p>
          <w:p>
            <w:pPr>
              <w:pStyle w:val="ListParagraph"/>
              <w:numPr>
                <w:ilvl w:val="0"/>
                <w:numId w:val="2"/>
              </w:numPr>
              <w:spacing w:before="120" w:after="120"/>
              <w:rPr>
                <w:rFonts w:cs="Arial"/>
              </w:rPr>
            </w:pPr>
            <w:r>
              <w:rPr>
                <w:rFonts w:cs="Arial"/>
              </w:rPr>
            </w:r>
          </w:p>
        </w:tc>
        <w:tc>
          <w:tcPr>
            <w:tcW w:w="5780" w:type="dxa"/>
            <w:tcBorders>
              <w:bottom w:val="single" w:sz="4" w:space="0" w:color="000000"/>
            </w:tcBorders>
            <w:shd w:fill="auto" w:val="clear"/>
          </w:tcPr>
          <w:p>
            <w:pPr>
              <w:pStyle w:val="Normal"/>
              <w:snapToGrid w:val="false"/>
              <w:spacing w:lineRule="auto" w:line="240"/>
              <w:rPr>
                <w:rFonts w:eastAsia="Calibri" w:cs="Arial"/>
              </w:rPr>
            </w:pPr>
            <w:r>
              <w:rPr>
                <w:rFonts w:eastAsia="Calibri" w:cs="Arial"/>
              </w:rPr>
            </w:r>
          </w:p>
          <w:p>
            <w:pPr>
              <w:pStyle w:val="Normal"/>
              <w:spacing w:lineRule="auto" w:line="240"/>
              <w:rPr>
                <w:rFonts w:eastAsia="Calibri" w:cs="Arial"/>
              </w:rPr>
            </w:pPr>
            <w:r>
              <w:rPr>
                <w:rFonts w:eastAsia="Calibri" w:cs="Arial"/>
              </w:rPr>
              <w:t xml:space="preserve">Demonstrate resilience to stress, maintaining effective management during peak times of operational demand. </w:t>
            </w:r>
          </w:p>
          <w:p>
            <w:pPr>
              <w:pStyle w:val="Normal"/>
              <w:spacing w:lineRule="auto" w:line="240"/>
              <w:rPr>
                <w:rFonts w:eastAsia="Calibri" w:cs="Arial"/>
              </w:rPr>
            </w:pPr>
            <w:r>
              <w:rPr>
                <w:rFonts w:eastAsia="Calibri" w:cs="Arial"/>
              </w:rPr>
            </w:r>
          </w:p>
          <w:p>
            <w:pPr>
              <w:pStyle w:val="Normal"/>
              <w:spacing w:lineRule="auto" w:line="240"/>
              <w:rPr>
                <w:rFonts w:eastAsia="Calibri" w:cs="Arial"/>
              </w:rPr>
            </w:pPr>
            <w:r>
              <w:rPr>
                <w:rFonts w:eastAsia="Calibri" w:cs="Arial"/>
              </w:rPr>
            </w:r>
          </w:p>
          <w:p>
            <w:pPr>
              <w:pStyle w:val="Normal"/>
              <w:spacing w:lineRule="auto" w:line="240"/>
              <w:rPr>
                <w:rFonts w:eastAsia="Calibri" w:cs="Arial"/>
              </w:rPr>
            </w:pPr>
            <w:r>
              <w:rPr>
                <w:rFonts w:eastAsia="Calibri" w:cs="Arial"/>
              </w:rPr>
            </w:r>
          </w:p>
          <w:p>
            <w:pPr>
              <w:pStyle w:val="Normal"/>
              <w:spacing w:lineRule="auto" w:line="240"/>
              <w:rPr>
                <w:rFonts w:eastAsia="Calibri" w:cs="Arial"/>
                <w:lang w:eastAsia="en-GB"/>
              </w:rPr>
            </w:pPr>
            <w:r>
              <w:rPr>
                <w:rFonts w:eastAsia="Calibri" w:cs="Arial"/>
                <w:lang w:eastAsia="en-GB"/>
              </w:rPr>
            </w:r>
          </w:p>
        </w:tc>
        <w:tc>
          <w:tcPr>
            <w:tcW w:w="3234" w:type="dxa"/>
            <w:tcBorders>
              <w:left w:val="single" w:sz="4" w:space="0" w:color="000000"/>
              <w:bottom w:val="single" w:sz="4" w:space="0" w:color="000000"/>
              <w:right w:val="single" w:sz="4" w:space="0" w:color="000000"/>
            </w:tcBorders>
            <w:shd w:fill="auto" w:val="clear"/>
          </w:tcPr>
          <w:p>
            <w:pPr>
              <w:pStyle w:val="Normal"/>
              <w:spacing w:before="120" w:after="120"/>
              <w:rPr>
                <w:rFonts w:cs="Arial"/>
              </w:rPr>
            </w:pPr>
            <w:r>
              <w:rPr>
                <w:rFonts w:cs="Arial"/>
              </w:rPr>
              <w:t>Application / Interview / Assessment</w:t>
            </w:r>
          </w:p>
        </w:tc>
      </w:tr>
      <w:tr>
        <w:trPr>
          <w:cantSplit w:val="true"/>
        </w:trPr>
        <w:tc>
          <w:tcPr>
            <w:tcW w:w="704" w:type="dxa"/>
            <w:tcBorders>
              <w:top w:val="single" w:sz="4" w:space="0" w:color="000000"/>
              <w:left w:val="single" w:sz="4" w:space="0" w:color="000000"/>
              <w:bottom w:val="single" w:sz="4" w:space="0" w:color="000000"/>
            </w:tcBorders>
            <w:shd w:fill="D9D9D9" w:val="clear"/>
          </w:tcPr>
          <w:p>
            <w:pPr>
              <w:pStyle w:val="Normal"/>
              <w:snapToGrid w:val="false"/>
              <w:spacing w:before="120" w:after="120"/>
              <w:ind w:left="720" w:right="0" w:hanging="0"/>
              <w:rPr>
                <w:rFonts w:cs="Arial"/>
              </w:rPr>
            </w:pPr>
            <w:r>
              <w:rPr>
                <w:rFonts w:cs="Arial"/>
              </w:rPr>
            </w:r>
          </w:p>
        </w:tc>
        <w:tc>
          <w:tcPr>
            <w:tcW w:w="9014" w:type="dxa"/>
            <w:gridSpan w:val="2"/>
            <w:tcBorders>
              <w:top w:val="single" w:sz="4" w:space="0" w:color="000000"/>
              <w:bottom w:val="single" w:sz="4" w:space="0" w:color="000000"/>
              <w:right w:val="single" w:sz="4" w:space="0" w:color="000000"/>
            </w:tcBorders>
            <w:shd w:fill="D9D9D9" w:val="clear"/>
          </w:tcPr>
          <w:p>
            <w:pPr>
              <w:pStyle w:val="Normal"/>
              <w:spacing w:before="120" w:after="120"/>
              <w:rPr>
                <w:rFonts w:cs="Arial"/>
                <w:b/>
                <w:b/>
              </w:rPr>
            </w:pPr>
            <w:r>
              <w:rPr>
                <w:rFonts w:cs="Arial"/>
                <w:b/>
              </w:rPr>
              <w:t>Job related competencies</w:t>
            </w:r>
          </w:p>
        </w:tc>
      </w:tr>
      <w:tr>
        <w:trPr>
          <w:cantSplit w:val="true"/>
        </w:trPr>
        <w:tc>
          <w:tcPr>
            <w:tcW w:w="6484" w:type="dxa"/>
            <w:gridSpan w:val="2"/>
            <w:tcBorders>
              <w:top w:val="single" w:sz="4" w:space="0" w:color="000000"/>
              <w:left w:val="single" w:sz="4" w:space="0" w:color="000000"/>
              <w:bottom w:val="single" w:sz="4" w:space="0" w:color="000000"/>
            </w:tcBorders>
            <w:shd w:fill="auto" w:val="clear"/>
          </w:tcPr>
          <w:p>
            <w:pPr>
              <w:pStyle w:val="Normal"/>
              <w:numPr>
                <w:ilvl w:val="0"/>
                <w:numId w:val="2"/>
              </w:numPr>
              <w:spacing w:before="120" w:after="120"/>
              <w:rPr>
                <w:rFonts w:cs="Arial"/>
                <w:b/>
                <w:b/>
                <w:bCs/>
              </w:rPr>
            </w:pPr>
            <w:r>
              <w:rPr>
                <w:rFonts w:cs="Arial"/>
                <w:b/>
                <w:bCs/>
              </w:rPr>
              <w:t>Candidates will be assessed against the following Values and Behaviours Framework:</w:t>
            </w:r>
          </w:p>
          <w:p>
            <w:pPr>
              <w:pStyle w:val="Normal"/>
              <w:spacing w:before="120" w:after="120"/>
              <w:ind w:left="720" w:right="0" w:hanging="0"/>
              <w:rPr>
                <w:rFonts w:cs="Arial"/>
              </w:rPr>
            </w:pPr>
            <w:r>
              <w:rPr>
                <w:rFonts w:cs="Arial"/>
              </w:rPr>
              <w:t>Accountability</w:t>
            </w:r>
          </w:p>
          <w:p>
            <w:pPr>
              <w:pStyle w:val="Normal"/>
              <w:spacing w:before="120" w:after="120"/>
              <w:ind w:left="720" w:right="0" w:hanging="0"/>
              <w:rPr>
                <w:rFonts w:cs="Arial"/>
              </w:rPr>
            </w:pPr>
            <w:r>
              <w:rPr>
                <w:rFonts w:cs="Arial"/>
              </w:rPr>
              <w:t>Determination</w:t>
            </w:r>
          </w:p>
          <w:p>
            <w:pPr>
              <w:pStyle w:val="Normal"/>
              <w:spacing w:before="120" w:after="120"/>
              <w:ind w:left="720" w:right="0" w:hanging="0"/>
              <w:rPr>
                <w:rFonts w:cs="Arial"/>
              </w:rPr>
            </w:pPr>
            <w:r>
              <w:rPr>
                <w:rFonts w:cs="Arial"/>
              </w:rPr>
              <w:t>Honesty and Respect</w:t>
            </w:r>
          </w:p>
          <w:p>
            <w:pPr>
              <w:pStyle w:val="Normal"/>
              <w:spacing w:before="120" w:after="120"/>
              <w:ind w:left="720" w:right="0" w:hanging="0"/>
              <w:rPr>
                <w:rFonts w:cs="Arial"/>
              </w:rPr>
            </w:pPr>
            <w:r>
              <w:rPr>
                <w:rFonts w:cs="Arial"/>
              </w:rPr>
              <w:t xml:space="preserve">Making a Difference </w:t>
            </w:r>
          </w:p>
          <w:p>
            <w:pPr>
              <w:pStyle w:val="Normal"/>
              <w:spacing w:before="120" w:after="120"/>
              <w:ind w:left="720" w:right="0" w:hanging="0"/>
              <w:rPr>
                <w:rFonts w:cs="Arial"/>
              </w:rPr>
            </w:pPr>
            <w:r>
              <w:rPr>
                <w:rFonts w:cs="Arial"/>
              </w:rPr>
              <w:t xml:space="preserve">Working Together </w:t>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rPr>
            </w:pPr>
            <w:r>
              <w:rPr>
                <w:rFonts w:cs="Arial"/>
              </w:rPr>
            </w:r>
          </w:p>
          <w:p>
            <w:pPr>
              <w:pStyle w:val="Normal"/>
              <w:rPr>
                <w:rFonts w:cs="Arial"/>
              </w:rPr>
            </w:pPr>
            <w:r>
              <w:rPr>
                <w:rFonts w:cs="Arial"/>
              </w:rPr>
              <w:t>Interview/Assessment</w:t>
            </w:r>
          </w:p>
        </w:tc>
      </w:tr>
      <w:tr>
        <w:trPr>
          <w:cantSplit w:val="true"/>
        </w:trPr>
        <w:tc>
          <w:tcPr>
            <w:tcW w:w="704" w:type="dxa"/>
            <w:tcBorders>
              <w:left w:val="single" w:sz="4" w:space="0" w:color="000000"/>
              <w:bottom w:val="single" w:sz="4" w:space="0" w:color="000000"/>
            </w:tcBorders>
            <w:shd w:fill="auto" w:val="clear"/>
          </w:tcPr>
          <w:p>
            <w:pPr>
              <w:pStyle w:val="Normal"/>
              <w:snapToGrid w:val="false"/>
              <w:spacing w:before="120" w:after="120"/>
              <w:ind w:left="720" w:right="0" w:hanging="0"/>
              <w:rPr>
                <w:rFonts w:cs="Arial"/>
              </w:rPr>
            </w:pPr>
            <w:r>
              <w:rPr>
                <w:rFonts w:cs="Arial"/>
              </w:rPr>
            </w:r>
          </w:p>
        </w:tc>
        <w:tc>
          <w:tcPr>
            <w:tcW w:w="9014" w:type="dxa"/>
            <w:gridSpan w:val="2"/>
            <w:tcBorders>
              <w:bottom w:val="single" w:sz="4" w:space="0" w:color="000000"/>
              <w:right w:val="single" w:sz="4" w:space="0" w:color="000000"/>
            </w:tcBorders>
            <w:shd w:fill="auto" w:val="clear"/>
          </w:tcPr>
          <w:p>
            <w:pPr>
              <w:pStyle w:val="Normal"/>
              <w:spacing w:before="120" w:after="120"/>
              <w:rPr>
                <w:rFonts w:cs="Arial"/>
                <w:b/>
                <w:b/>
              </w:rPr>
            </w:pPr>
            <w:r>
              <w:rPr>
                <w:rFonts w:cs="Arial"/>
                <w:b/>
              </w:rPr>
              <w:t>Candidates will be assessed against the following Leadership Competencies</w:t>
            </w:r>
          </w:p>
          <w:p>
            <w:pPr>
              <w:pStyle w:val="Normal"/>
              <w:rPr>
                <w:rFonts w:cs="Arial"/>
              </w:rPr>
            </w:pPr>
            <w:r>
              <w:rPr>
                <w:rFonts w:cs="Arial"/>
              </w:rPr>
              <w:t>Political awareness</w:t>
            </w:r>
          </w:p>
          <w:p>
            <w:pPr>
              <w:pStyle w:val="Normal"/>
              <w:rPr>
                <w:rFonts w:cs="Arial"/>
              </w:rPr>
            </w:pPr>
            <w:r>
              <w:rPr>
                <w:rFonts w:cs="Arial"/>
              </w:rPr>
              <w:t>Strategic vision and values</w:t>
            </w:r>
          </w:p>
          <w:p>
            <w:pPr>
              <w:pStyle w:val="Normal"/>
              <w:rPr>
                <w:rFonts w:cs="Arial"/>
              </w:rPr>
            </w:pPr>
            <w:r>
              <w:rPr>
                <w:rFonts w:cs="Arial"/>
              </w:rPr>
              <w:t>High impact communication</w:t>
            </w:r>
          </w:p>
          <w:p>
            <w:pPr>
              <w:pStyle w:val="Normal"/>
              <w:rPr>
                <w:rFonts w:cs="Arial"/>
              </w:rPr>
            </w:pPr>
            <w:r>
              <w:rPr>
                <w:rFonts w:cs="Arial"/>
              </w:rPr>
              <w:t>Collaboration and partnership</w:t>
            </w:r>
          </w:p>
          <w:p>
            <w:pPr>
              <w:pStyle w:val="Normal"/>
              <w:rPr>
                <w:rFonts w:cs="Arial"/>
              </w:rPr>
            </w:pPr>
            <w:r>
              <w:rPr>
                <w:rFonts w:cs="Arial"/>
              </w:rPr>
              <w:t>Service management</w:t>
            </w:r>
          </w:p>
          <w:p>
            <w:pPr>
              <w:pStyle w:val="Normal"/>
              <w:rPr>
                <w:rFonts w:cs="Arial"/>
              </w:rPr>
            </w:pPr>
            <w:r>
              <w:rPr>
                <w:rFonts w:cs="Arial"/>
              </w:rPr>
              <w:t>Service delivery</w:t>
            </w:r>
          </w:p>
          <w:p>
            <w:pPr>
              <w:pStyle w:val="Normal"/>
              <w:rPr>
                <w:rFonts w:cs="Arial"/>
              </w:rPr>
            </w:pPr>
            <w:r>
              <w:rPr>
                <w:rFonts w:cs="Arial"/>
              </w:rPr>
              <w:t>Managing self</w:t>
            </w:r>
          </w:p>
          <w:p>
            <w:pPr>
              <w:pStyle w:val="Normal"/>
              <w:rPr>
                <w:rFonts w:cs="Arial"/>
              </w:rPr>
            </w:pPr>
            <w:r>
              <w:rPr>
                <w:rFonts w:cs="Arial"/>
              </w:rPr>
            </w:r>
          </w:p>
        </w:tc>
      </w:tr>
      <w:tr>
        <w:trPr>
          <w:cantSplit w:val="true"/>
        </w:trPr>
        <w:tc>
          <w:tcPr>
            <w:tcW w:w="9718"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cs="Arial"/>
                <w:b/>
                <w:b/>
              </w:rPr>
            </w:pPr>
            <w:r>
              <w:rPr>
                <w:rFonts w:cs="Arial"/>
                <w:b/>
              </w:rPr>
              <w:t xml:space="preserve">3.     Experience/Qualifications/Training etc </w:t>
            </w:r>
            <w:bookmarkStart w:id="0" w:name="_Hlk146690321"/>
            <w:bookmarkEnd w:id="0"/>
          </w:p>
        </w:tc>
      </w:tr>
      <w:tr>
        <w:trPr>
          <w:cantSplit w:val="true"/>
        </w:trPr>
        <w:tc>
          <w:tcPr>
            <w:tcW w:w="704" w:type="dxa"/>
            <w:tcBorders>
              <w:top w:val="single" w:sz="4" w:space="0" w:color="000000"/>
              <w:left w:val="single" w:sz="4" w:space="0" w:color="000000"/>
              <w:bottom w:val="single" w:sz="4" w:space="0" w:color="000000"/>
            </w:tcBorders>
            <w:shd w:fill="FFFFFF" w:val="clear"/>
          </w:tcPr>
          <w:p>
            <w:pPr>
              <w:pStyle w:val="ListParagraph"/>
              <w:numPr>
                <w:ilvl w:val="0"/>
                <w:numId w:val="2"/>
              </w:numPr>
              <w:snapToGrid w:val="false"/>
              <w:spacing w:before="60" w:after="60"/>
              <w:rPr>
                <w:rFonts w:cs="Arial"/>
                <w:b/>
                <w:b/>
              </w:rPr>
            </w:pPr>
            <w:r>
              <w:rPr>
                <w:rFonts w:cs="Arial"/>
                <w:b/>
              </w:rPr>
            </w:r>
          </w:p>
        </w:tc>
        <w:tc>
          <w:tcPr>
            <w:tcW w:w="5780" w:type="dxa"/>
            <w:tcBorders>
              <w:top w:val="single" w:sz="4" w:space="0" w:color="000000"/>
              <w:left w:val="single" w:sz="4" w:space="0" w:color="000000"/>
              <w:bottom w:val="single" w:sz="4" w:space="0" w:color="000000"/>
            </w:tcBorders>
            <w:shd w:fill="auto" w:val="clear"/>
          </w:tcPr>
          <w:p>
            <w:pPr>
              <w:pStyle w:val="Normal"/>
              <w:spacing w:before="60" w:after="60"/>
              <w:rPr>
                <w:rFonts w:cs="Arial"/>
              </w:rPr>
            </w:pPr>
            <w:r>
              <w:rPr>
                <w:rFonts w:cs="Arial"/>
              </w:rPr>
              <w:t>An appropriate management/professional qualification</w:t>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rPr>
            </w:pPr>
            <w:r>
              <w:rPr>
                <w:rFonts w:cs="Arial"/>
              </w:rPr>
              <w:t>Application / Interview / Assessment</w:t>
            </w:r>
          </w:p>
          <w:p>
            <w:pPr>
              <w:pStyle w:val="Normal"/>
              <w:rPr>
                <w:rFonts w:cs="Arial"/>
              </w:rPr>
            </w:pPr>
            <w:r>
              <w:rPr>
                <w:rFonts w:cs="Arial"/>
              </w:rPr>
            </w:r>
          </w:p>
        </w:tc>
      </w:tr>
      <w:tr>
        <w:trPr>
          <w:cantSplit w:val="true"/>
        </w:trPr>
        <w:tc>
          <w:tcPr>
            <w:tcW w:w="704" w:type="dxa"/>
            <w:tcBorders>
              <w:top w:val="single" w:sz="4" w:space="0" w:color="000000"/>
              <w:left w:val="single" w:sz="4" w:space="0" w:color="000000"/>
              <w:bottom w:val="single" w:sz="4" w:space="0" w:color="000000"/>
            </w:tcBorders>
            <w:shd w:fill="FFFFFF" w:val="clear"/>
          </w:tcPr>
          <w:p>
            <w:pPr>
              <w:pStyle w:val="ListParagraph"/>
              <w:numPr>
                <w:ilvl w:val="0"/>
                <w:numId w:val="2"/>
              </w:numPr>
              <w:snapToGrid w:val="false"/>
              <w:spacing w:before="60" w:after="60"/>
              <w:rPr>
                <w:rFonts w:cs="Arial"/>
                <w:b/>
                <w:b/>
              </w:rPr>
            </w:pPr>
            <w:r>
              <w:rPr>
                <w:rFonts w:cs="Arial"/>
                <w:b/>
              </w:rPr>
            </w:r>
          </w:p>
        </w:tc>
        <w:tc>
          <w:tcPr>
            <w:tcW w:w="5780" w:type="dxa"/>
            <w:tcBorders>
              <w:top w:val="single" w:sz="4" w:space="0" w:color="000000"/>
              <w:left w:val="single" w:sz="4" w:space="0" w:color="000000"/>
              <w:bottom w:val="single" w:sz="4" w:space="0" w:color="000000"/>
            </w:tcBorders>
            <w:shd w:fill="auto" w:val="clear"/>
          </w:tcPr>
          <w:p>
            <w:pPr>
              <w:pStyle w:val="Normal"/>
              <w:spacing w:before="60" w:after="60"/>
              <w:rPr>
                <w:rFonts w:cs="Arial"/>
              </w:rPr>
            </w:pPr>
            <w:r>
              <w:rPr>
                <w:rFonts w:cs="Arial"/>
              </w:rPr>
              <w:t>Experience of working at a senior management level in a complex system</w:t>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rPr>
            </w:pPr>
            <w:r>
              <w:rPr>
                <w:rFonts w:cs="Arial"/>
              </w:rPr>
              <w:t>Application / Interview / Assessment</w:t>
            </w:r>
          </w:p>
          <w:p>
            <w:pPr>
              <w:pStyle w:val="Normal"/>
              <w:rPr>
                <w:rFonts w:cs="Arial"/>
              </w:rPr>
            </w:pPr>
            <w:r>
              <w:rPr>
                <w:rFonts w:cs="Arial"/>
              </w:rPr>
            </w:r>
          </w:p>
        </w:tc>
      </w:tr>
      <w:tr>
        <w:trPr>
          <w:cantSplit w:val="true"/>
        </w:trPr>
        <w:tc>
          <w:tcPr>
            <w:tcW w:w="704" w:type="dxa"/>
            <w:tcBorders>
              <w:top w:val="single" w:sz="4" w:space="0" w:color="000000"/>
              <w:left w:val="single" w:sz="4" w:space="0" w:color="000000"/>
              <w:bottom w:val="single" w:sz="4" w:space="0" w:color="000000"/>
            </w:tcBorders>
            <w:shd w:fill="FFFFFF" w:val="clear"/>
          </w:tcPr>
          <w:p>
            <w:pPr>
              <w:pStyle w:val="ListParagraph"/>
              <w:numPr>
                <w:ilvl w:val="0"/>
                <w:numId w:val="2"/>
              </w:numPr>
              <w:snapToGrid w:val="false"/>
              <w:spacing w:before="60" w:after="60"/>
              <w:rPr>
                <w:rFonts w:cs="Arial"/>
                <w:b/>
                <w:b/>
              </w:rPr>
            </w:pPr>
            <w:r>
              <w:rPr>
                <w:rFonts w:cs="Arial"/>
                <w:b/>
              </w:rPr>
            </w:r>
          </w:p>
        </w:tc>
        <w:tc>
          <w:tcPr>
            <w:tcW w:w="5780" w:type="dxa"/>
            <w:tcBorders>
              <w:left w:val="single" w:sz="4" w:space="0" w:color="000000"/>
              <w:bottom w:val="single" w:sz="4" w:space="0" w:color="000000"/>
            </w:tcBorders>
            <w:shd w:fill="auto" w:val="clear"/>
          </w:tcPr>
          <w:p>
            <w:pPr>
              <w:pStyle w:val="Normal"/>
              <w:spacing w:before="60" w:after="60"/>
              <w:rPr>
                <w:rFonts w:cs="Arial"/>
              </w:rPr>
            </w:pPr>
            <w:r>
              <w:rPr>
                <w:rFonts w:cs="Arial"/>
              </w:rPr>
              <w:t xml:space="preserve">Experience of commissioning, including needs analysis, public involvement and co-production, procurement, contracting and purchasing procedures.  </w:t>
            </w:r>
          </w:p>
        </w:tc>
        <w:tc>
          <w:tcPr>
            <w:tcW w:w="3234" w:type="dxa"/>
            <w:tcBorders>
              <w:left w:val="single" w:sz="4" w:space="0" w:color="000000"/>
              <w:bottom w:val="single" w:sz="4" w:space="0" w:color="000000"/>
              <w:right w:val="single" w:sz="4" w:space="0" w:color="000000"/>
            </w:tcBorders>
            <w:shd w:fill="auto" w:val="clear"/>
          </w:tcPr>
          <w:p>
            <w:pPr>
              <w:pStyle w:val="Normal"/>
              <w:rPr>
                <w:rFonts w:cs="Arial"/>
              </w:rPr>
            </w:pPr>
            <w:r>
              <w:rPr>
                <w:rFonts w:cs="Arial"/>
              </w:rPr>
              <w:t>Application / Interview / Assessment</w:t>
            </w:r>
          </w:p>
        </w:tc>
      </w:tr>
      <w:tr>
        <w:trPr>
          <w:cantSplit w:val="true"/>
        </w:trPr>
        <w:tc>
          <w:tcPr>
            <w:tcW w:w="704" w:type="dxa"/>
            <w:tcBorders>
              <w:top w:val="single" w:sz="4" w:space="0" w:color="000000"/>
              <w:left w:val="single" w:sz="4" w:space="0" w:color="000000"/>
              <w:bottom w:val="single" w:sz="4" w:space="0" w:color="000000"/>
            </w:tcBorders>
            <w:shd w:fill="FFFFFF" w:val="clear"/>
          </w:tcPr>
          <w:p>
            <w:pPr>
              <w:pStyle w:val="ListParagraph"/>
              <w:numPr>
                <w:ilvl w:val="0"/>
                <w:numId w:val="2"/>
              </w:numPr>
              <w:snapToGrid w:val="false"/>
              <w:spacing w:before="60" w:after="60"/>
              <w:rPr>
                <w:rFonts w:cs="Arial"/>
                <w:b/>
                <w:b/>
              </w:rPr>
            </w:pPr>
            <w:r>
              <w:rPr>
                <w:rFonts w:cs="Arial"/>
                <w:b/>
              </w:rPr>
            </w:r>
          </w:p>
        </w:tc>
        <w:tc>
          <w:tcPr>
            <w:tcW w:w="5780" w:type="dxa"/>
            <w:tcBorders>
              <w:top w:val="single" w:sz="4" w:space="0" w:color="000000"/>
              <w:left w:val="single" w:sz="4" w:space="0" w:color="000000"/>
              <w:bottom w:val="single" w:sz="4" w:space="0" w:color="000000"/>
            </w:tcBorders>
            <w:shd w:fill="FFFFFF" w:val="clear"/>
          </w:tcPr>
          <w:p>
            <w:pPr>
              <w:pStyle w:val="Normal"/>
              <w:spacing w:before="60" w:after="60"/>
              <w:rPr>
                <w:rFonts w:cs="Arial"/>
              </w:rPr>
            </w:pPr>
            <w:r>
              <w:rPr>
                <w:rFonts w:cs="Arial"/>
              </w:rPr>
              <w:t>Experience of managing performance management systems to meet strategic objectives and deliver improved outcomes</w:t>
            </w:r>
          </w:p>
          <w:p>
            <w:pPr>
              <w:pStyle w:val="Normal"/>
              <w:spacing w:before="60" w:after="60"/>
              <w:rPr>
                <w:rFonts w:cs="Arial"/>
                <w:b/>
                <w:b/>
              </w:rPr>
            </w:pPr>
            <w:r>
              <w:rPr>
                <w:rFonts w:cs="Arial"/>
                <w:b/>
              </w:rPr>
            </w:r>
          </w:p>
        </w:tc>
        <w:tc>
          <w:tcPr>
            <w:tcW w:w="3234" w:type="dxa"/>
            <w:tcBorders>
              <w:top w:val="single" w:sz="4" w:space="0" w:color="000000"/>
              <w:left w:val="single" w:sz="4" w:space="0" w:color="000000"/>
              <w:bottom w:val="single" w:sz="4" w:space="0" w:color="000000"/>
              <w:right w:val="single" w:sz="4" w:space="0" w:color="000000"/>
            </w:tcBorders>
            <w:shd w:fill="FFFFFF" w:val="clear"/>
          </w:tcPr>
          <w:p>
            <w:pPr>
              <w:pStyle w:val="Normal"/>
              <w:rPr>
                <w:rFonts w:cs="Arial"/>
              </w:rPr>
            </w:pPr>
            <w:r>
              <w:rPr>
                <w:rFonts w:cs="Arial"/>
              </w:rPr>
              <w:t>Application / Interview / Assessment</w:t>
            </w:r>
          </w:p>
          <w:p>
            <w:pPr>
              <w:pStyle w:val="Normal"/>
              <w:spacing w:before="60" w:after="60"/>
              <w:rPr>
                <w:rFonts w:cs="Arial"/>
                <w:b/>
                <w:b/>
              </w:rPr>
            </w:pPr>
            <w:r>
              <w:rPr>
                <w:rFonts w:cs="Arial"/>
                <w:b/>
              </w:rPr>
            </w:r>
          </w:p>
        </w:tc>
      </w:tr>
      <w:tr>
        <w:trPr>
          <w:cantSplit w:val="true"/>
        </w:trPr>
        <w:tc>
          <w:tcPr>
            <w:tcW w:w="9718" w:type="dxa"/>
            <w:gridSpan w:val="3"/>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cs="Arial"/>
                <w:b/>
                <w:b/>
              </w:rPr>
            </w:pPr>
            <w:r>
              <w:rPr>
                <w:rFonts w:cs="Arial"/>
                <w:b/>
              </w:rPr>
              <w:t>4.</w:t>
              <w:tab/>
              <w:t>Work Related Circumstances</w:t>
            </w:r>
          </w:p>
        </w:tc>
      </w:tr>
      <w:tr>
        <w:trPr>
          <w:cantSplit w:val="true"/>
        </w:trPr>
        <w:tc>
          <w:tcPr>
            <w:tcW w:w="704" w:type="dxa"/>
            <w:tcBorders>
              <w:top w:val="single" w:sz="4" w:space="0" w:color="000000"/>
              <w:left w:val="single" w:sz="4" w:space="0" w:color="000000"/>
              <w:bottom w:val="single" w:sz="4" w:space="0" w:color="000000"/>
            </w:tcBorders>
            <w:shd w:fill="auto" w:val="clear"/>
          </w:tcPr>
          <w:p>
            <w:pPr>
              <w:pStyle w:val="Normal"/>
              <w:spacing w:before="120" w:after="120"/>
              <w:rPr>
                <w:rFonts w:cs="Arial"/>
              </w:rPr>
            </w:pPr>
            <w:r>
              <w:rPr>
                <w:rFonts w:cs="Arial"/>
              </w:rPr>
              <w:t>1.</w:t>
            </w:r>
          </w:p>
        </w:tc>
        <w:tc>
          <w:tcPr>
            <w:tcW w:w="5780" w:type="dxa"/>
            <w:tcBorders>
              <w:top w:val="single" w:sz="4" w:space="0" w:color="000000"/>
              <w:bottom w:val="single" w:sz="4" w:space="0" w:color="000000"/>
            </w:tcBorders>
            <w:shd w:fill="auto" w:val="clear"/>
          </w:tcPr>
          <w:p>
            <w:pPr>
              <w:pStyle w:val="Normal"/>
              <w:spacing w:before="120" w:after="120"/>
              <w:rPr>
                <w:rFonts w:cs="Arial"/>
                <w:color w:val="000000"/>
              </w:rPr>
            </w:pPr>
            <w:r>
              <w:rPr>
                <w:rFonts w:cs="Arial"/>
                <w:color w:val="000000"/>
              </w:rPr>
              <w:t>The post holder will be expected to work such hours as are necessary to ensure the job gets done, including regular evening and occasional weekend working. The post holder is "on call" at all other times, particularly to cover emergency planning requirements. No extra payments are made for such extended hours.</w:t>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cs="Arial"/>
              </w:rPr>
            </w:pPr>
            <w:r>
              <w:rPr>
                <w:rFonts w:cs="Arial"/>
              </w:rPr>
              <w:t>Application Form/Interview</w:t>
            </w:r>
          </w:p>
        </w:tc>
      </w:tr>
      <w:tr>
        <w:trPr>
          <w:cantSplit w:val="true"/>
        </w:trPr>
        <w:tc>
          <w:tcPr>
            <w:tcW w:w="704" w:type="dxa"/>
            <w:tcBorders>
              <w:top w:val="single" w:sz="4" w:space="0" w:color="000000"/>
              <w:left w:val="single" w:sz="4" w:space="0" w:color="000000"/>
              <w:bottom w:val="single" w:sz="4" w:space="0" w:color="000000"/>
            </w:tcBorders>
            <w:shd w:fill="auto" w:val="clear"/>
          </w:tcPr>
          <w:p>
            <w:pPr>
              <w:pStyle w:val="Normal"/>
              <w:spacing w:before="120" w:after="120"/>
              <w:rPr>
                <w:rFonts w:cs="Arial"/>
              </w:rPr>
            </w:pPr>
            <w:r>
              <w:rPr>
                <w:rFonts w:cs="Arial"/>
              </w:rPr>
              <w:t>2.</w:t>
            </w:r>
          </w:p>
        </w:tc>
        <w:tc>
          <w:tcPr>
            <w:tcW w:w="5780" w:type="dxa"/>
            <w:tcBorders>
              <w:top w:val="single" w:sz="4" w:space="0" w:color="000000"/>
              <w:bottom w:val="single" w:sz="4" w:space="0" w:color="000000"/>
            </w:tcBorders>
            <w:shd w:fill="auto" w:val="clear"/>
          </w:tcPr>
          <w:p>
            <w:pPr>
              <w:pStyle w:val="Normal"/>
              <w:spacing w:before="120" w:after="120"/>
              <w:rPr>
                <w:rFonts w:cs="Arial"/>
              </w:rPr>
            </w:pPr>
            <w:r>
              <w:rPr>
                <w:rFonts w:cs="Arial"/>
              </w:rPr>
              <w:t>Must be prepared to travel as required by the demands of the job</w:t>
            </w:r>
          </w:p>
        </w:tc>
        <w:tc>
          <w:tcPr>
            <w:tcW w:w="323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cs="Arial"/>
              </w:rPr>
            </w:pPr>
            <w:r>
              <w:rPr>
                <w:rFonts w:cs="Arial"/>
              </w:rPr>
              <w:t>Application Form/Interview</w:t>
            </w:r>
          </w:p>
        </w:tc>
      </w:tr>
    </w:tbl>
    <w:p>
      <w:pPr>
        <w:pStyle w:val="Normal"/>
        <w:rPr>
          <w:rFonts w:cs="Arial"/>
        </w:rPr>
      </w:pPr>
      <w:r>
        <w:rPr>
          <w:rFonts w:cs="Arial"/>
        </w:rPr>
      </w:r>
    </w:p>
    <w:p>
      <w:pPr>
        <w:pStyle w:val="Normal"/>
        <w:rPr>
          <w:rFonts w:cs="Arial"/>
        </w:rPr>
      </w:pPr>
      <w:r>
        <w:rPr>
          <w:rFonts w:cs="Arial"/>
        </w:rPr>
      </w:r>
    </w:p>
    <w:tbl>
      <w:tblPr>
        <w:tblW w:w="9718" w:type="dxa"/>
        <w:jc w:val="left"/>
        <w:tblInd w:w="0" w:type="dxa"/>
        <w:tblCellMar>
          <w:top w:w="0" w:type="dxa"/>
          <w:left w:w="108" w:type="dxa"/>
          <w:bottom w:w="0" w:type="dxa"/>
          <w:right w:w="108" w:type="dxa"/>
        </w:tblCellMar>
      </w:tblPr>
      <w:tblGrid>
        <w:gridCol w:w="9718"/>
      </w:tblGrid>
      <w:tr>
        <w:trPr/>
        <w:tc>
          <w:tcPr>
            <w:tcW w:w="9718" w:type="dxa"/>
            <w:tcBorders>
              <w:top w:val="single" w:sz="4" w:space="0" w:color="000000"/>
              <w:left w:val="single" w:sz="4" w:space="0" w:color="000000"/>
              <w:bottom w:val="single" w:sz="4" w:space="0" w:color="000000"/>
              <w:right w:val="single" w:sz="4" w:space="0" w:color="000000"/>
            </w:tcBorders>
            <w:shd w:fill="BFBFBF" w:val="clear"/>
          </w:tcPr>
          <w:p>
            <w:pPr>
              <w:pStyle w:val="Normal"/>
              <w:rPr/>
            </w:pPr>
            <w:r>
              <w:rPr>
                <w:rFonts w:cs="Arial"/>
                <w:sz w:val="18"/>
              </w:rPr>
              <w:t>Note to Applicants</w:t>
            </w:r>
            <w:r>
              <w:rPr>
                <w:rFonts w:cs="Arial"/>
                <w:b/>
                <w:sz w:val="18"/>
              </w:rPr>
              <w:t>: Please try to show in your application form  how best you meet these requirements</w:t>
            </w:r>
          </w:p>
        </w:tc>
      </w:tr>
    </w:tbl>
    <w:p>
      <w:pPr>
        <w:pStyle w:val="Normal"/>
        <w:rPr>
          <w:rFonts w:cs="Arial"/>
        </w:rPr>
      </w:pPr>
      <w:r>
        <w:rPr>
          <w:rFonts w:cs="Arial"/>
        </w:rPr>
      </w:r>
    </w:p>
    <w:tbl>
      <w:tblPr>
        <w:tblW w:w="9707" w:type="dxa"/>
        <w:jc w:val="left"/>
        <w:tblInd w:w="0" w:type="dxa"/>
        <w:tblCellMar>
          <w:top w:w="0" w:type="dxa"/>
          <w:left w:w="108" w:type="dxa"/>
          <w:bottom w:w="0" w:type="dxa"/>
          <w:right w:w="108" w:type="dxa"/>
        </w:tblCellMar>
      </w:tblPr>
      <w:tblGrid>
        <w:gridCol w:w="4188"/>
        <w:gridCol w:w="5519"/>
      </w:tblGrid>
      <w:tr>
        <w:trPr>
          <w:trHeight w:val="495" w:hRule="atLeast"/>
        </w:trPr>
        <w:tc>
          <w:tcPr>
            <w:tcW w:w="4188" w:type="dxa"/>
            <w:tcBorders/>
            <w:shd w:fill="auto" w:val="clear"/>
          </w:tcPr>
          <w:p>
            <w:pPr>
              <w:pStyle w:val="Normal"/>
              <w:spacing w:before="60" w:after="60"/>
              <w:rPr>
                <w:rFonts w:cs="Arial"/>
                <w:b/>
                <w:b/>
              </w:rPr>
            </w:pPr>
            <w:r>
              <w:rPr>
                <w:rFonts w:cs="Arial"/>
                <w:b/>
              </w:rPr>
              <w:t>Date Person Specification prepared:</w:t>
            </w:r>
          </w:p>
        </w:tc>
        <w:tc>
          <w:tcPr>
            <w:tcW w:w="5519" w:type="dxa"/>
            <w:tcBorders/>
            <w:shd w:fill="auto" w:val="clear"/>
          </w:tcPr>
          <w:p>
            <w:pPr>
              <w:pStyle w:val="Normal"/>
              <w:spacing w:before="60" w:after="60"/>
              <w:rPr>
                <w:rFonts w:cs="Arial"/>
              </w:rPr>
            </w:pPr>
            <w:r>
              <w:rPr>
                <w:rFonts w:cs="Arial"/>
              </w:rPr>
              <w:t>July 2026</w:t>
            </w:r>
          </w:p>
        </w:tc>
      </w:tr>
      <w:tr>
        <w:trPr/>
        <w:tc>
          <w:tcPr>
            <w:tcW w:w="4188" w:type="dxa"/>
            <w:tcBorders/>
            <w:shd w:fill="auto" w:val="clear"/>
          </w:tcPr>
          <w:p>
            <w:pPr>
              <w:pStyle w:val="Normal"/>
              <w:spacing w:before="60" w:after="60"/>
              <w:rPr>
                <w:rFonts w:cs="Arial"/>
                <w:b/>
                <w:b/>
              </w:rPr>
            </w:pPr>
            <w:r>
              <w:rPr>
                <w:rFonts w:cs="Arial"/>
                <w:b/>
              </w:rPr>
              <w:t>Person Specification prepared by:</w:t>
            </w:r>
          </w:p>
        </w:tc>
        <w:tc>
          <w:tcPr>
            <w:tcW w:w="5519" w:type="dxa"/>
            <w:tcBorders/>
            <w:shd w:fill="auto" w:val="clear"/>
          </w:tcPr>
          <w:p>
            <w:pPr>
              <w:pStyle w:val="Normal"/>
              <w:spacing w:before="60" w:after="60"/>
              <w:rPr>
                <w:rFonts w:cs="Arial"/>
              </w:rPr>
            </w:pPr>
            <w:r>
              <w:rPr>
                <w:rFonts w:cs="Arial"/>
              </w:rPr>
              <w:t xml:space="preserve">Director of Adults and Communities </w:t>
            </w:r>
          </w:p>
        </w:tc>
      </w:tr>
    </w:tbl>
    <w:p>
      <w:pPr>
        <w:pStyle w:val="Normal"/>
        <w:rPr/>
      </w:pPr>
      <w:r>
        <w:rPr/>
      </w:r>
    </w:p>
    <w:sectPr>
      <w:headerReference w:type="default" r:id="rId10"/>
      <w:footerReference w:type="default" r:id="rId11"/>
      <w:type w:val="nextPage"/>
      <w:pgSz w:w="11906" w:h="16838"/>
      <w:pgMar w:left="1134" w:right="1134" w:header="709" w:top="1418" w:footer="709"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Verdana">
    <w:charset w:val="00"/>
    <w:family w:val="roman"/>
    <w:pitch w:val="variable"/>
  </w:font>
  <w:font w:name="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4680" w:leader="none"/>
        <w:tab w:val="right" w:pos="8306" w:leader="none"/>
      </w:tabs>
      <w:rPr>
        <w:rStyle w:val="Pagenumber"/>
        <w:rFonts w:cs="Arial"/>
        <w:sz w:val="20"/>
        <w:szCs w:val="20"/>
      </w:rPr>
    </w:pPr>
    <w:r>
      <w:rPr>
        <w:rFonts w:cs="Arial"/>
        <w:sz w:val="20"/>
        <w:szCs w:val="20"/>
      </w:rPr>
      <w:tab/>
    </w:r>
    <w:r>
      <w:rPr>
        <w:rStyle w:val="Pagenumber"/>
        <w:rFonts w:cs="Arial"/>
        <w:sz w:val="20"/>
        <w:szCs w:val="20"/>
      </w:rPr>
      <w:fldChar w:fldCharType="begin"/>
    </w:r>
    <w:r>
      <w:rPr>
        <w:rStyle w:val="Pagenumber"/>
        <w:sz w:val="20"/>
        <w:szCs w:val="20"/>
        <w:rFonts w:cs="Arial"/>
      </w:rPr>
      <w:instrText> PAGE </w:instrText>
    </w:r>
    <w:r>
      <w:rPr>
        <w:rStyle w:val="Pagenumber"/>
        <w:sz w:val="20"/>
        <w:szCs w:val="20"/>
        <w:rFonts w:cs="Arial"/>
      </w:rPr>
      <w:fldChar w:fldCharType="separate"/>
    </w:r>
    <w:r>
      <w:rPr>
        <w:rStyle w:val="Pagenumber"/>
        <w:sz w:val="20"/>
        <w:szCs w:val="20"/>
        <w:rFonts w:cs="Arial"/>
      </w:rPr>
      <w:t>3</w:t>
    </w:r>
    <w:r>
      <w:rPr>
        <w:rStyle w:val="Pagenumber"/>
        <w:sz w:val="20"/>
        <w:szCs w:val="20"/>
        <w:rFonts w:cs="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4680" w:leader="none"/>
        <w:tab w:val="right" w:pos="8306" w:leader="none"/>
      </w:tabs>
      <w:rPr/>
    </w:pPr>
    <w:r>
      <w:rPr>
        <w:rFonts w:cs="Arial"/>
        <w:sz w:val="20"/>
        <w:szCs w:val="20"/>
      </w:rPr>
      <w:tab/>
    </w:r>
    <w:r>
      <w:rPr>
        <w:rStyle w:val="Pagenumber"/>
        <w:rFonts w:cs="Arial"/>
        <w:sz w:val="20"/>
        <w:szCs w:val="20"/>
      </w:rPr>
      <w:fldChar w:fldCharType="begin"/>
    </w:r>
    <w:r>
      <w:rPr>
        <w:rStyle w:val="Pagenumber"/>
        <w:sz w:val="20"/>
        <w:szCs w:val="20"/>
        <w:rFonts w:cs="Arial"/>
      </w:rPr>
      <w:instrText> PAGE </w:instrText>
    </w:r>
    <w:r>
      <w:rPr>
        <w:rStyle w:val="Pagenumber"/>
        <w:sz w:val="20"/>
        <w:szCs w:val="20"/>
        <w:rFonts w:cs="Arial"/>
      </w:rPr>
      <w:fldChar w:fldCharType="separate"/>
    </w:r>
    <w:r>
      <w:rPr>
        <w:rStyle w:val="Pagenumber"/>
        <w:sz w:val="20"/>
        <w:szCs w:val="20"/>
        <w:rFonts w:cs="Arial"/>
      </w:rPr>
      <w:t>6</w:t>
    </w:r>
    <w:r>
      <w:rPr>
        <w:rStyle w:val="Pagenumber"/>
        <w:sz w:val="20"/>
        <w:szCs w:val="20"/>
        <w:rFonts w:cs="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sz w:val="20"/>
        <w:b/>
        <w:szCs w:val="20"/>
        <w:bCs/>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szCs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0"/>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0"/>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64" w:before="0" w:after="0"/>
      <w:jc w:val="left"/>
    </w:pPr>
    <w:rPr>
      <w:rFonts w:ascii="Arial" w:hAnsi="Arial" w:eastAsia="Times New Roman" w:cs="Times New Roman"/>
      <w:color w:val="auto"/>
      <w:kern w:val="0"/>
      <w:sz w:val="22"/>
      <w:szCs w:val="22"/>
      <w:lang w:val="en-GB" w:eastAsia="en-US" w:bidi="ar-SA"/>
    </w:rPr>
  </w:style>
  <w:style w:type="paragraph" w:styleId="Heading1">
    <w:name w:val="Heading 1"/>
    <w:basedOn w:val="Normal"/>
    <w:next w:val="Normal"/>
    <w:qFormat/>
    <w:pPr>
      <w:keepNext w:val="true"/>
      <w:numPr>
        <w:ilvl w:val="0"/>
        <w:numId w:val="1"/>
      </w:numPr>
      <w:tabs>
        <w:tab w:val="clear" w:pos="720"/>
        <w:tab w:val="left" w:pos="882" w:leader="none"/>
      </w:tabs>
      <w:jc w:val="both"/>
      <w:outlineLvl w:val="0"/>
    </w:pPr>
    <w:rPr>
      <w:b/>
      <w:lang w:eastAsia="en-GB"/>
    </w:rPr>
  </w:style>
  <w:style w:type="paragraph" w:styleId="Heading3">
    <w:name w:val="Heading 3"/>
    <w:basedOn w:val="Normal"/>
    <w:next w:val="Normal"/>
    <w:qFormat/>
    <w:pPr>
      <w:keepNext w:val="true"/>
      <w:numPr>
        <w:ilvl w:val="2"/>
        <w:numId w:val="1"/>
      </w:numPr>
      <w:outlineLvl w:val="2"/>
    </w:pPr>
    <w:rPr>
      <w:b/>
      <w:sz w:val="34"/>
      <w:lang w:eastAsia="en-GB"/>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cs="Arial"/>
      <w:b/>
      <w:bCs/>
      <w:sz w:val="20"/>
      <w:szCs w:val="20"/>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szCs w:val="2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rPr>
      <w:color w:val="0000FF"/>
      <w:u w:val="single"/>
    </w:rPr>
  </w:style>
  <w:style w:type="character" w:styleId="FollowedHyperlink">
    <w:name w:val="FollowedHyperlink"/>
    <w:qFormat/>
    <w:rPr>
      <w:color w:val="800080"/>
      <w:u w:val="single"/>
    </w:rPr>
  </w:style>
  <w:style w:type="character" w:styleId="Maintitlestyle11">
    <w:name w:val="main-title style11"/>
    <w:basedOn w:val="DefaultParagraphFont"/>
    <w:qFormat/>
    <w:rPr/>
  </w:style>
  <w:style w:type="character" w:styleId="Strong">
    <w:name w:val="Strong"/>
    <w:qFormat/>
    <w:rPr>
      <w:b/>
      <w:bCs/>
    </w:rPr>
  </w:style>
  <w:style w:type="character" w:styleId="Pagenumber">
    <w:name w:val="page numbe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Arial" w:hAnsi="Arial" w:cs="Arial"/>
      <w:lang w:eastAsia="en-US"/>
    </w:rPr>
  </w:style>
  <w:style w:type="character" w:styleId="CommentSubjectChar">
    <w:name w:val="Comment Subject Char"/>
    <w:basedOn w:val="CommentTextChar"/>
    <w:qFormat/>
    <w:rPr>
      <w:rFonts w:ascii="Arial" w:hAnsi="Arial" w:cs="Arial"/>
      <w:b/>
      <w:bCs/>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lang w:eastAsia="en-G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cs="Times New Roman"/>
      <w:sz w:val="24"/>
      <w:szCs w:val="24"/>
    </w:rPr>
  </w:style>
  <w:style w:type="paragraph" w:styleId="Commontext">
    <w:name w:val="commontext"/>
    <w:basedOn w:val="Normal"/>
    <w:qFormat/>
    <w:pPr>
      <w:spacing w:before="280" w:after="280"/>
    </w:pPr>
    <w:rPr>
      <w:rFonts w:ascii="Verdana" w:hAnsi="Verdana" w:cs="Verdana"/>
      <w:color w:val="0D1E4F"/>
      <w:lang w:val="en-US"/>
    </w:rPr>
  </w:style>
  <w:style w:type="paragraph" w:styleId="Cell2">
    <w:name w:val="cell-2"/>
    <w:basedOn w:val="Normal"/>
    <w:qFormat/>
    <w:pPr>
      <w:shd w:fill="DDDFE8" w:val="clear"/>
      <w:spacing w:before="280" w:after="280"/>
    </w:pPr>
    <w:rPr>
      <w:rFonts w:ascii="Times New Roman" w:hAnsi="Times New Roman" w:cs="Times New Roman"/>
      <w:sz w:val="24"/>
      <w:szCs w:val="24"/>
      <w:lang w:val="en-US"/>
    </w:rPr>
  </w:style>
  <w:style w:type="paragraph" w:styleId="Maintitlestyle1">
    <w:name w:val="main-title style1"/>
    <w:basedOn w:val="Normal"/>
    <w:qFormat/>
    <w:pPr>
      <w:spacing w:before="280" w:after="280"/>
    </w:pPr>
    <w:rPr>
      <w:rFonts w:ascii="Times New Roman" w:hAnsi="Times New Roman" w:cs="Times New Roman"/>
      <w:sz w:val="24"/>
      <w:szCs w:val="24"/>
      <w:lang w:val="en-US"/>
    </w:rPr>
  </w:style>
  <w:style w:type="paragraph" w:styleId="BodyTextIndent2">
    <w:name w:val="Body Text Indent 2"/>
    <w:basedOn w:val="Normal"/>
    <w:qFormat/>
    <w:pPr>
      <w:spacing w:lineRule="auto" w:line="480" w:before="0" w:after="120"/>
      <w:ind w:left="283" w:right="0" w:hanging="0"/>
    </w:pPr>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lang w:eastAsia="en-GB"/>
    </w:rPr>
  </w:style>
  <w:style w:type="paragraph" w:styleId="PlainText">
    <w:name w:val="Plain Text"/>
    <w:basedOn w:val="Normal"/>
    <w:qFormat/>
    <w:pPr/>
    <w:rPr>
      <w:rFonts w:ascii="Courier New" w:hAnsi="Courier New" w:cs="Courier New"/>
      <w:lang w:eastAsia="en-GB"/>
    </w:rPr>
  </w:style>
  <w:style w:type="paragraph" w:styleId="BalloonText">
    <w:name w:val="Balloon Text"/>
    <w:basedOn w:val="Normal"/>
    <w:qFormat/>
    <w:pPr/>
    <w:rPr>
      <w:rFonts w:cs="Tahoma"/>
      <w:sz w:val="16"/>
      <w:szCs w:val="16"/>
    </w:rPr>
  </w:style>
  <w:style w:type="paragraph" w:styleId="Footer">
    <w:name w:val="Footer"/>
    <w:basedOn w:val="Normal"/>
    <w:pPr>
      <w:tabs>
        <w:tab w:val="clear" w:pos="720"/>
        <w:tab w:val="center" w:pos="4153" w:leader="none"/>
        <w:tab w:val="right" w:pos="8306" w:leader="none"/>
      </w:tabs>
    </w:pPr>
    <w:rPr>
      <w:lang w:eastAsia="en-GB"/>
    </w:rPr>
  </w:style>
  <w:style w:type="paragraph" w:styleId="DocumentMap">
    <w:name w:val="Document Map"/>
    <w:basedOn w:val="Normal"/>
    <w:qFormat/>
    <w:pPr>
      <w:shd w:fill="000080" w:val="clear"/>
    </w:pPr>
    <w:rPr>
      <w:rFonts w:cs="Tahoma"/>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ind w:left="720" w:right="0" w:hanging="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