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r>
        <w:rPr/>
        <w:br/>
      </w:r>
    </w:p>
    <w:p>
      <w:pPr>
        <w:pStyle w:val="Heading1"/>
        <w:ind w:hanging="0" w:left="0"/>
        <w:rPr/>
      </w:pPr>
      <w:r>
        <w:rPr>
          <w:rFonts w:eastAsia="Arial" w:cs="Arial" w:ascii="Arial" w:hAnsi="Arial"/>
          <w:b/>
          <w:bCs/>
          <w:color w:val="auto"/>
          <w:sz w:val="40"/>
          <w:szCs w:val="40"/>
        </w:rPr>
        <w:t xml:space="preserve"> </w:t>
      </w:r>
      <w:r>
        <w:rPr>
          <w:rFonts w:cs="Arial" w:ascii="Arial" w:hAnsi="Arial"/>
          <w:b/>
          <w:bCs/>
          <w:color w:val="auto"/>
          <w:sz w:val="40"/>
          <w:szCs w:val="40"/>
        </w:rPr>
        <w:t>Job Description</w:t>
      </w:r>
      <w:r>
        <w:rPr>
          <w:rFonts w:cs="Arial" w:ascii="Arial" w:hAnsi="Arial"/>
          <w:b/>
          <w:bCs/>
          <w:sz w:val="40"/>
          <w:szCs w:val="40"/>
        </w:rPr>
        <w:t xml:space="preserve">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Children’s Services / Adults and Community Directorates</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Business Intelligence Programme and Development Officer</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Grade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H</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To support the planning, co-ordination and delivery of business intelligence that informs strategic decision making for children, young people, families and adults.</w:t>
            </w:r>
          </w:p>
          <w:p>
            <w:pPr>
              <w:pStyle w:val="Normal"/>
              <w:spacing w:lineRule="auto" w:line="240" w:before="0" w:after="0"/>
              <w:rPr>
                <w:rFonts w:ascii="Arial" w:hAnsi="Arial" w:eastAsia="Arial" w:cs="Arial"/>
              </w:rPr>
            </w:pPr>
            <w:r>
              <w:rPr>
                <w:rFonts w:eastAsia="Arial" w:cs="Arial" w:ascii="Arial" w:hAnsi="Arial"/>
              </w:rPr>
              <w:t xml:space="preserve"> </w:t>
            </w:r>
          </w:p>
          <w:p>
            <w:pPr>
              <w:pStyle w:val="Normal"/>
              <w:spacing w:lineRule="auto" w:line="240" w:before="0" w:after="0"/>
              <w:rPr>
                <w:rFonts w:ascii="Arial" w:hAnsi="Arial" w:cs="Arial"/>
              </w:rPr>
            </w:pPr>
            <w:r>
              <w:rPr>
                <w:rFonts w:cs="Arial" w:ascii="Arial" w:hAnsi="Arial"/>
              </w:rPr>
              <w:t>To deputise for the Principal Business Intelligence Officer.</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 xml:space="preserve">Principal Business Intelligence Officer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rPr>
            </w:pPr>
            <w:r>
              <w:rPr>
                <w:rFonts w:cs="Arial" w:ascii="Arial" w:hAnsi="Arial"/>
              </w:rPr>
              <w:t>Career Grade Business Intelligence Officers</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pPr>
            <w:r>
              <w:rPr>
                <w:rFonts w:cs="Arial" w:ascii="Arial" w:hAnsi="Arial"/>
                <w:b/>
                <w:bCs/>
                <w:color w:val="000000"/>
              </w:rPr>
              <w:t>Stages of working with data:</w:t>
            </w:r>
            <w:r>
              <w:rPr>
                <w:rFonts w:cs="Arial" w:ascii="Arial" w:hAnsi="Arial"/>
                <w:color w:val="000000"/>
              </w:rPr>
              <w:t xml:space="preserve"> To gather, prepare, analyse, evaluate and communicate different types of complex statistical information and data from various sources and in a variety of accessible formats.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pPr>
            <w:r>
              <w:rPr>
                <w:rFonts w:cs="Arial" w:ascii="Arial" w:hAnsi="Arial"/>
                <w:b/>
                <w:bCs/>
                <w:color w:val="000000"/>
              </w:rPr>
              <w:t>Tools to help process data:</w:t>
            </w:r>
            <w:r>
              <w:rPr>
                <w:rFonts w:cs="Arial" w:ascii="Arial" w:hAnsi="Arial"/>
                <w:color w:val="000000"/>
              </w:rPr>
              <w:t xml:space="preserve"> To make best use of technology and create/update databases, spreadsheets, statistical tools and GIS tools for analysis, ensuring they are continually maintained in efficient working order, and enable trend reporting, diagnostic and predictive analytics.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pPr>
            <w:r>
              <w:rPr>
                <w:rFonts w:eastAsia="Times New Roman" w:cs="Arial" w:ascii="Arial" w:hAnsi="Arial"/>
                <w:b/>
                <w:bCs/>
                <w:color w:val="000000"/>
                <w:lang w:val="en-US" w:eastAsia="en-GB"/>
              </w:rPr>
              <w:t>Quality:</w:t>
            </w:r>
            <w:r>
              <w:rPr>
                <w:rFonts w:eastAsia="Times New Roman" w:cs="Arial" w:ascii="Arial" w:hAnsi="Arial"/>
                <w:color w:val="000000"/>
                <w:lang w:val="en-US" w:eastAsia="en-GB"/>
              </w:rPr>
              <w:t xml:space="preserve"> To support the development of the specifications, and </w:t>
            </w:r>
            <w:r>
              <w:rPr>
                <w:rFonts w:cs="Arial" w:ascii="Arial" w:hAnsi="Arial"/>
                <w:color w:val="000000"/>
              </w:rPr>
              <w:t>research, analyse and report complex information, using appropriate tools; performing validity checks to ensure the accuracy of data, and liaise with operational and support staff.</w:t>
            </w:r>
            <w:r>
              <w:rPr>
                <w:rFonts w:eastAsia="Times New Roman" w:cs="Arial" w:ascii="Arial" w:hAnsi="Arial"/>
                <w:color w:val="000000"/>
                <w:lang w:val="en-US" w:eastAsia="en-GB"/>
              </w:rPr>
              <w:t xml:space="preserve"> </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pPr>
            <w:r>
              <w:rPr>
                <w:rFonts w:eastAsia="Times New Roman" w:cs="Arial" w:ascii="Arial" w:hAnsi="Arial"/>
                <w:b/>
                <w:bCs/>
                <w:color w:val="000000"/>
                <w:lang w:val="en-US" w:eastAsia="en-GB"/>
              </w:rPr>
              <w:t>Quality:</w:t>
            </w:r>
            <w:r>
              <w:rPr>
                <w:rFonts w:eastAsia="Times New Roman" w:cs="Arial" w:ascii="Arial" w:hAnsi="Arial"/>
                <w:color w:val="000000"/>
                <w:lang w:val="en-US" w:eastAsia="en-GB"/>
              </w:rPr>
              <w:t xml:space="preserve"> To create appropriate documentation that allows stakeholders to have a consistent understand the steps of the data analysis process</w:t>
            </w:r>
            <w:r>
              <w:rPr>
                <w:color w:val="000000"/>
              </w:rPr>
              <w:t>,</w:t>
            </w:r>
            <w:r>
              <w:rPr>
                <w:rFonts w:eastAsia="Times New Roman" w:cs="Arial" w:ascii="Arial" w:hAnsi="Arial"/>
                <w:color w:val="000000"/>
                <w:lang w:val="en-US" w:eastAsia="en-GB"/>
              </w:rPr>
              <w:t xml:space="preserve"> and duplicate or replicate the analysis if necessary.</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pPr>
            <w:r>
              <w:rPr>
                <w:rFonts w:eastAsia="Times New Roman" w:cs="Arial" w:ascii="Arial" w:hAnsi="Arial"/>
                <w:b/>
                <w:bCs/>
                <w:color w:val="000000"/>
                <w:lang w:eastAsia="en-GB"/>
              </w:rPr>
              <w:t>Purpose, audience and method:</w:t>
            </w:r>
            <w:r>
              <w:rPr>
                <w:rFonts w:eastAsia="Times New Roman" w:cs="Arial" w:ascii="Arial" w:hAnsi="Arial"/>
                <w:color w:val="000000"/>
                <w:lang w:eastAsia="en-GB"/>
              </w:rPr>
              <w:t xml:space="preserve"> To p</w:t>
            </w:r>
            <w:r>
              <w:rPr>
                <w:rFonts w:eastAsia="Times New Roman" w:cs="Arial" w:ascii="Arial" w:hAnsi="Arial"/>
                <w:color w:val="000000"/>
                <w:lang w:val="en-US" w:eastAsia="en-GB"/>
              </w:rPr>
              <w:t>repare high quality, timely and accurate routine and ad-hoc business intelligence, including spatial data, in a format that is appropriate and meaningful for different stakeholders to effectively communicate trends, patterns, and predictions</w:t>
            </w:r>
            <w:r>
              <w:rPr>
                <w:color w:val="000000"/>
              </w:rPr>
              <w:t>.</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pPr>
            <w:r>
              <w:rPr>
                <w:rFonts w:eastAsia="Times New Roman" w:cs="Arial" w:ascii="Arial" w:hAnsi="Arial"/>
                <w:b/>
                <w:bCs/>
                <w:color w:val="000000"/>
                <w:lang w:val="en-US" w:eastAsia="en-GB"/>
              </w:rPr>
              <w:t>Impact:</w:t>
            </w:r>
            <w:r>
              <w:rPr>
                <w:rFonts w:eastAsia="Times New Roman" w:cs="Arial" w:ascii="Arial" w:hAnsi="Arial"/>
                <w:color w:val="000000"/>
                <w:lang w:val="en-US" w:eastAsia="en-GB"/>
              </w:rPr>
              <w:t xml:space="preserve"> To use data analysis to inform and influence decisions relating to projects, programmes and partnerships, and to enable the timely completion of regional returns.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pPr>
            <w:r>
              <w:rPr>
                <w:rFonts w:cs="Arial" w:ascii="Arial" w:hAnsi="Arial"/>
                <w:b/>
                <w:bCs/>
                <w:color w:val="000000"/>
              </w:rPr>
              <w:t>Team development:</w:t>
            </w:r>
            <w:r>
              <w:rPr>
                <w:rFonts w:cs="Arial" w:ascii="Arial" w:hAnsi="Arial"/>
                <w:color w:val="000000"/>
              </w:rPr>
              <w:t xml:space="preserve"> to line manage some Business Intelligence Officers and to </w:t>
            </w:r>
            <w:r>
              <w:rPr>
                <w:rFonts w:cs="Arial" w:ascii="Arial" w:hAnsi="Arial"/>
              </w:rPr>
              <w:t>co-ordinate the delivery of training and development across the Business Intelligence team</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pPr>
            <w:r>
              <w:rPr>
                <w:rFonts w:eastAsia="Times New Roman" w:cs="Arial" w:ascii="Arial" w:hAnsi="Arial"/>
                <w:b/>
                <w:bCs/>
                <w:color w:val="000000"/>
                <w:lang w:val="en-US" w:eastAsia="en-GB"/>
              </w:rPr>
              <w:t>Working together:</w:t>
            </w:r>
            <w:r>
              <w:rPr>
                <w:rFonts w:eastAsia="Times New Roman" w:cs="Arial" w:ascii="Arial" w:hAnsi="Arial"/>
                <w:color w:val="000000"/>
                <w:lang w:val="en-US" w:eastAsia="en-GB"/>
              </w:rPr>
              <w:t xml:space="preserve"> To work in partnership with internal/external services and across regional and national networks to effectively plan and deliver business intelligence requirements.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pPr>
            <w:r>
              <w:rPr>
                <w:rFonts w:eastAsia="Times New Roman" w:cs="Arial" w:ascii="Arial" w:hAnsi="Arial"/>
                <w:b/>
                <w:bCs/>
                <w:color w:val="000000"/>
                <w:lang w:val="en-US" w:eastAsia="en-GB"/>
              </w:rPr>
              <w:t>Continuous improvement:</w:t>
            </w:r>
            <w:r>
              <w:rPr>
                <w:rFonts w:eastAsia="Times New Roman" w:cs="Arial" w:ascii="Arial" w:hAnsi="Arial"/>
                <w:color w:val="000000"/>
                <w:lang w:val="en-US" w:eastAsia="en-GB"/>
              </w:rPr>
              <w:t xml:space="preserve"> To support system modifications and make recommendations to develop policies for data governance.</w:t>
            </w:r>
            <w:r>
              <w:rPr>
                <w:rFonts w:cs="Arial" w:ascii="Arial" w:hAnsi="Arial"/>
                <w:color w:val="000000"/>
              </w:rPr>
              <w:t xml:space="preserve"> T</w:t>
            </w:r>
            <w:r>
              <w:rPr>
                <w:rFonts w:eastAsia="Times New Roman" w:cs="Arial" w:ascii="Arial" w:hAnsi="Arial"/>
                <w:color w:val="000000"/>
                <w:lang w:val="en-US" w:eastAsia="en-GB"/>
              </w:rPr>
              <w:t>o share good practice to enable continuous learning</w:t>
            </w:r>
          </w:p>
        </w:tc>
      </w:tr>
      <w:tr>
        <w:trPr/>
        <w:tc>
          <w:tcPr>
            <w:tcW w:w="4572" w:type="dxa"/>
            <w:gridSpan w:val="2"/>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Date Job Description prepared/updated:</w:t>
            </w:r>
          </w:p>
        </w:tc>
        <w:tc>
          <w:tcPr>
            <w:tcW w:w="5065" w:type="dxa"/>
            <w:tcBorders/>
          </w:tcPr>
          <w:p>
            <w:pPr>
              <w:pStyle w:val="Normal"/>
              <w:snapToGrid w:val="false"/>
              <w:spacing w:lineRule="auto" w:line="240" w:before="0" w:after="0"/>
              <w:rPr>
                <w:rFonts w:ascii="Arial" w:hAnsi="Arial" w:cs="Arial"/>
                <w:bCs/>
              </w:rPr>
            </w:pPr>
            <w:r>
              <w:rPr>
                <w:rFonts w:cs="Arial" w:ascii="Arial" w:hAnsi="Arial"/>
                <w:bCs/>
              </w:rPr>
            </w:r>
          </w:p>
          <w:p>
            <w:pPr>
              <w:pStyle w:val="Normal"/>
              <w:spacing w:lineRule="auto" w:line="240" w:before="0" w:after="0"/>
              <w:rPr>
                <w:rFonts w:ascii="Arial" w:hAnsi="Arial" w:cs="Arial"/>
                <w:bCs/>
              </w:rPr>
            </w:pPr>
            <w:r>
              <w:rPr>
                <w:rFonts w:cs="Arial" w:ascii="Arial" w:hAnsi="Arial"/>
                <w:bCs/>
              </w:rPr>
              <w:t>Strategy &amp; Partnerships Manager</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Cs/>
              </w:rPr>
            </w:pPr>
            <w:r>
              <w:rPr>
                <w:rFonts w:cs="Arial" w:ascii="Arial" w:hAnsi="Arial"/>
                <w:bCs/>
              </w:rPr>
              <w:t>August 2026</w:t>
            </w:r>
          </w:p>
        </w:tc>
      </w:tr>
    </w:tbl>
    <w:p>
      <w:pPr>
        <w:pStyle w:val="Normal"/>
        <w:rPr/>
      </w:pPr>
      <w:r>
        <w:rPr/>
      </w:r>
    </w:p>
    <w:p>
      <w:pPr>
        <w:pStyle w:val="Normal"/>
        <w:spacing w:lineRule="auto" w:line="256" w:before="0" w:after="160"/>
        <w:rPr>
          <w:rFonts w:ascii="Calibri Light" w:hAnsi="Calibri Light" w:eastAsia="" w:cs="Calibri Light"/>
          <w:b/>
          <w:bCs/>
          <w:sz w:val="40"/>
          <w:szCs w:val="40"/>
        </w:rPr>
      </w:pPr>
      <w:r>
        <w:rPr>
          <w:rFonts w:eastAsia="" w:cs="Calibri Light" w:ascii="Calibri Light" w:hAnsi="Calibri Light"/>
          <w:b/>
          <w:bCs/>
          <w:sz w:val="40"/>
          <w:szCs w:val="40"/>
        </w:rPr>
      </w:r>
      <w:r>
        <w:br w:type="page"/>
      </w:r>
    </w:p>
    <w:p>
      <w:pPr>
        <w:pStyle w:val="Heading2"/>
        <w:ind w:hanging="0" w:left="0"/>
        <w:rPr>
          <w:rFonts w:ascii="Arial" w:hAnsi="Arial" w:cs="Arial"/>
          <w:b/>
          <w:bCs/>
          <w:color w:val="auto"/>
          <w:sz w:val="40"/>
          <w:szCs w:val="40"/>
        </w:rPr>
      </w:pPr>
      <w:r>
        <w:rPr>
          <w:rFonts w:cs="Arial" w:ascii="Arial" w:hAnsi="Arial"/>
          <w:b/>
          <w:bCs/>
          <w:color w:val="auto"/>
          <w:sz w:val="40"/>
          <w:szCs w:val="40"/>
        </w:rPr>
        <w:t>Person Specification</w:t>
      </w:r>
    </w:p>
    <w:tbl>
      <w:tblPr>
        <w:tblW w:w="10065" w:type="dxa"/>
        <w:jc w:val="left"/>
        <w:tblInd w:w="108" w:type="dxa"/>
        <w:tblLayout w:type="fixed"/>
        <w:tblCellMar>
          <w:top w:w="0" w:type="dxa"/>
          <w:left w:w="108" w:type="dxa"/>
          <w:bottom w:w="0" w:type="dxa"/>
          <w:right w:w="108" w:type="dxa"/>
        </w:tblCellMar>
      </w:tblPr>
      <w:tblGrid>
        <w:gridCol w:w="675"/>
        <w:gridCol w:w="33"/>
        <w:gridCol w:w="959"/>
        <w:gridCol w:w="4800"/>
        <w:gridCol w:w="19"/>
        <w:gridCol w:w="3579"/>
      </w:tblGrid>
      <w:tr>
        <w:trPr/>
        <w:tc>
          <w:tcPr>
            <w:tcW w:w="1667" w:type="dxa"/>
            <w:gridSpan w:val="3"/>
            <w:tcBorders/>
          </w:tcPr>
          <w:p>
            <w:pPr>
              <w:pStyle w:val="Normal"/>
              <w:spacing w:before="60" w:after="60"/>
              <w:rPr>
                <w:rFonts w:ascii="Arial" w:hAnsi="Arial" w:cs="Arial"/>
                <w:b/>
              </w:rPr>
            </w:pPr>
            <w:r>
              <w:rPr>
                <w:rFonts w:cs="Arial" w:ascii="Arial" w:hAnsi="Arial"/>
                <w:b/>
              </w:rPr>
              <w:t>Department</w:t>
            </w:r>
          </w:p>
        </w:tc>
        <w:tc>
          <w:tcPr>
            <w:tcW w:w="8398" w:type="dxa"/>
            <w:gridSpan w:val="3"/>
            <w:tcBorders/>
          </w:tcPr>
          <w:p>
            <w:pPr>
              <w:pStyle w:val="Normal"/>
              <w:spacing w:before="60" w:after="60"/>
              <w:rPr>
                <w:rFonts w:ascii="Arial" w:hAnsi="Arial" w:cs="Arial"/>
                <w:b/>
                <w:caps/>
              </w:rPr>
            </w:pPr>
            <w:r>
              <w:rPr>
                <w:rFonts w:cs="Arial" w:ascii="Arial" w:hAnsi="Arial"/>
                <w:b/>
                <w:caps/>
              </w:rPr>
              <w:t>Children’s Services / adults and community</w:t>
            </w:r>
          </w:p>
        </w:tc>
      </w:tr>
      <w:tr>
        <w:trPr/>
        <w:tc>
          <w:tcPr>
            <w:tcW w:w="1667" w:type="dxa"/>
            <w:gridSpan w:val="3"/>
            <w:tcBorders>
              <w:bottom w:val="single" w:sz="4" w:space="0" w:color="000000"/>
            </w:tcBorders>
          </w:tcPr>
          <w:p>
            <w:pPr>
              <w:pStyle w:val="Normal"/>
              <w:spacing w:before="60" w:after="240"/>
              <w:rPr>
                <w:rFonts w:ascii="Arial" w:hAnsi="Arial" w:cs="Arial"/>
                <w:b/>
              </w:rPr>
            </w:pPr>
            <w:r>
              <w:rPr>
                <w:rFonts w:cs="Arial" w:ascii="Arial" w:hAnsi="Arial"/>
                <w:b/>
              </w:rPr>
              <w:t>Job Title</w:t>
            </w:r>
          </w:p>
        </w:tc>
        <w:tc>
          <w:tcPr>
            <w:tcW w:w="8398" w:type="dxa"/>
            <w:gridSpan w:val="3"/>
            <w:tcBorders>
              <w:bottom w:val="single" w:sz="4" w:space="0" w:color="000000"/>
            </w:tcBorders>
          </w:tcPr>
          <w:p>
            <w:pPr>
              <w:pStyle w:val="Normal"/>
              <w:spacing w:before="60" w:after="60"/>
              <w:rPr>
                <w:rFonts w:ascii="Arial" w:hAnsi="Arial" w:cs="Arial"/>
                <w:b/>
                <w:caps/>
              </w:rPr>
            </w:pPr>
            <w:r>
              <w:rPr>
                <w:rFonts w:cs="Arial" w:ascii="Arial" w:hAnsi="Arial"/>
                <w:b/>
                <w:caps/>
              </w:rPr>
              <w:t>business intelligence programme and development officer</w:t>
            </w:r>
          </w:p>
        </w:tc>
      </w:tr>
      <w:tr>
        <w:trPr/>
        <w:tc>
          <w:tcPr>
            <w:tcW w:w="1667"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240"/>
              <w:rPr>
                <w:rFonts w:ascii="Arial" w:hAnsi="Arial" w:cs="Arial"/>
                <w:b/>
              </w:rPr>
            </w:pPr>
            <w:r>
              <w:rPr>
                <w:rFonts w:cs="Arial" w:ascii="Arial" w:hAnsi="Arial"/>
                <w:b/>
              </w:rPr>
              <w:t>Stage One</w:t>
            </w:r>
          </w:p>
        </w:tc>
        <w:tc>
          <w:tcPr>
            <w:tcW w:w="8398"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rPr/>
            </w:pPr>
            <w:r>
              <w:rPr>
                <w:rFonts w:cs="Arial" w:ascii="Arial" w:hAnsi="Arial"/>
                <w:bCs/>
              </w:rPr>
              <w:t xml:space="preserve">Candidates who are care leavers, have a disability, are ex-armed forces or are a carer (see </w:t>
            </w:r>
            <w:r>
              <w:rPr>
                <w:rStyle w:val="Hyperlink"/>
              </w:rPr>
              <w:t>carers-charter-final.pdf</w:t>
            </w:r>
            <w:r>
              <w:rPr/>
              <w:t xml:space="preserve">) </w:t>
            </w:r>
            <w:r>
              <w:rPr>
                <w:rFonts w:cs="Arial" w:ascii="Arial" w:hAnsi="Arial"/>
                <w:bCs/>
              </w:rPr>
              <w:t xml:space="preserve">are guaranteed an interview if they meet the essential criteria for the role </w:t>
            </w:r>
          </w:p>
        </w:tc>
      </w:tr>
      <w:tr>
        <w:trPr/>
        <w:tc>
          <w:tcPr>
            <w:tcW w:w="6486" w:type="dxa"/>
            <w:gridSpan w:val="5"/>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The Minimum Essential Requirements for the above Post are as Follows:</w:t>
            </w:r>
          </w:p>
        </w:tc>
        <w:tc>
          <w:tcPr>
            <w:tcW w:w="357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color w:val="FFFFFF"/>
              </w:rPr>
            </w:pPr>
            <w:r>
              <w:rPr>
                <w:rFonts w:cs="Arial" w:ascii="Arial" w:hAnsi="Arial"/>
                <w:b/>
                <w:color w:val="FFFFFF"/>
              </w:rPr>
              <w:t>Method of Assessment</w:t>
            </w:r>
          </w:p>
        </w:tc>
      </w:tr>
      <w:tr>
        <w:trPr>
          <w:cantSplit w:val="true"/>
        </w:trPr>
        <w:tc>
          <w:tcPr>
            <w:tcW w:w="675" w:type="dxa"/>
            <w:tcBorders>
              <w:left w:val="single" w:sz="4" w:space="0" w:color="000000"/>
              <w:bottom w:val="single" w:sz="4" w:space="0" w:color="000000"/>
            </w:tcBorders>
            <w:shd w:fill="D9D9D9" w:val="clear"/>
          </w:tcPr>
          <w:p>
            <w:pPr>
              <w:pStyle w:val="Normal"/>
              <w:spacing w:before="60" w:after="60"/>
              <w:rPr>
                <w:rFonts w:ascii="Arial" w:hAnsi="Arial" w:cs="Arial"/>
                <w:b/>
              </w:rPr>
            </w:pPr>
            <w:r>
              <w:rPr>
                <w:rFonts w:cs="Arial" w:ascii="Arial" w:hAnsi="Arial"/>
                <w:b/>
              </w:rPr>
              <w:t>1.</w:t>
            </w:r>
          </w:p>
        </w:tc>
        <w:tc>
          <w:tcPr>
            <w:tcW w:w="9390" w:type="dxa"/>
            <w:gridSpan w:val="5"/>
            <w:tcBorders>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Skills and Knowledge</w:t>
            </w:r>
          </w:p>
        </w:tc>
      </w:tr>
      <w:tr>
        <w:trPr>
          <w:cantSplit w:val="true"/>
        </w:trPr>
        <w:tc>
          <w:tcPr>
            <w:tcW w:w="675"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811" w:type="dxa"/>
            <w:gridSpan w:val="4"/>
            <w:tcBorders>
              <w:top w:val="single" w:sz="4" w:space="0" w:color="000000"/>
              <w:bottom w:val="single" w:sz="4" w:space="0" w:color="000000"/>
              <w:right w:val="single" w:sz="4" w:space="0" w:color="000000"/>
            </w:tcBorders>
          </w:tcPr>
          <w:p>
            <w:pPr>
              <w:pStyle w:val="Normal"/>
              <w:spacing w:before="0" w:after="0"/>
              <w:rPr/>
            </w:pPr>
            <w:r>
              <w:rPr>
                <w:rFonts w:cs="Arial" w:ascii="Arial" w:hAnsi="Arial"/>
              </w:rPr>
              <w:t>Knowledge and understanding of a range of</w:t>
            </w:r>
            <w:r>
              <w:rPr>
                <w:rFonts w:cs="Arial" w:ascii="Arial" w:hAnsi="Arial"/>
                <w:color w:val="000000"/>
              </w:rPr>
              <w:t xml:space="preserve"> ICT, data and information systems including </w:t>
            </w:r>
            <w:r>
              <w:rPr>
                <w:rFonts w:cs="Arial" w:ascii="Arial" w:hAnsi="Arial"/>
              </w:rPr>
              <w:t xml:space="preserve">database languages such as SQL, R, or Python and or others, and their practical application. </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 / Assessment</w:t>
            </w:r>
          </w:p>
        </w:tc>
      </w:tr>
      <w:tr>
        <w:trPr>
          <w:cantSplit w:val="true"/>
        </w:trPr>
        <w:tc>
          <w:tcPr>
            <w:tcW w:w="675"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811" w:type="dxa"/>
            <w:gridSpan w:val="4"/>
            <w:tcBorders>
              <w:top w:val="single" w:sz="4" w:space="0" w:color="000000"/>
              <w:bottom w:val="single" w:sz="4" w:space="0" w:color="000000"/>
              <w:right w:val="single" w:sz="4" w:space="0" w:color="000000"/>
            </w:tcBorders>
          </w:tcPr>
          <w:p>
            <w:pPr>
              <w:pStyle w:val="Normal"/>
              <w:spacing w:before="0" w:after="0"/>
              <w:rPr>
                <w:rFonts w:ascii="Arial" w:hAnsi="Arial" w:cs="Arial"/>
              </w:rPr>
            </w:pPr>
            <w:r>
              <w:rPr>
                <w:rFonts w:cs="Arial" w:ascii="Arial" w:hAnsi="Arial"/>
              </w:rPr>
              <w:t>Ability to use Power BI and other data visualisation tools.</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 Form / Interview </w:t>
            </w:r>
          </w:p>
        </w:tc>
      </w:tr>
      <w:tr>
        <w:trPr>
          <w:cantSplit w:val="true"/>
        </w:trPr>
        <w:tc>
          <w:tcPr>
            <w:tcW w:w="675" w:type="dxa"/>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811" w:type="dxa"/>
            <w:gridSpan w:val="4"/>
            <w:tcBorders>
              <w:top w:val="single" w:sz="4" w:space="0" w:color="000000"/>
              <w:bottom w:val="single" w:sz="4" w:space="0" w:color="000000"/>
              <w:right w:val="single" w:sz="4" w:space="0" w:color="000000"/>
            </w:tcBorders>
          </w:tcPr>
          <w:p>
            <w:pPr>
              <w:pStyle w:val="Normal"/>
              <w:spacing w:before="0" w:after="0"/>
              <w:rPr>
                <w:rFonts w:ascii="Arial" w:hAnsi="Arial" w:cs="Arial"/>
              </w:rPr>
            </w:pPr>
            <w:r>
              <w:rPr>
                <w:rFonts w:cs="Arial" w:ascii="Arial" w:hAnsi="Arial"/>
              </w:rPr>
              <w:t xml:space="preserve">Ability to collate and analyse data to produce detailed intelligence that informs decision making.  </w:t>
            </w:r>
          </w:p>
        </w:tc>
        <w:tc>
          <w:tcPr>
            <w:tcW w:w="3579" w:type="dxa"/>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811" w:type="dxa"/>
            <w:gridSpan w:val="4"/>
            <w:tcBorders>
              <w:bottom w:val="single" w:sz="4" w:space="0" w:color="000000"/>
              <w:right w:val="single" w:sz="4" w:space="0" w:color="000000"/>
            </w:tcBorders>
          </w:tcPr>
          <w:p>
            <w:pPr>
              <w:pStyle w:val="Normal"/>
              <w:spacing w:before="0" w:after="0"/>
              <w:rPr>
                <w:rFonts w:ascii="Arial" w:hAnsi="Arial" w:cs="Arial"/>
              </w:rPr>
            </w:pPr>
            <w:r>
              <w:rPr>
                <w:rFonts w:cs="Arial" w:ascii="Arial" w:hAnsi="Arial"/>
              </w:rPr>
              <w:t>Ability to develop new visualisations for key data sets, dashboard and other formats.</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5.</w:t>
            </w:r>
          </w:p>
        </w:tc>
        <w:tc>
          <w:tcPr>
            <w:tcW w:w="5811" w:type="dxa"/>
            <w:gridSpan w:val="4"/>
            <w:tcBorders>
              <w:bottom w:val="single" w:sz="4" w:space="0" w:color="000000"/>
              <w:right w:val="single" w:sz="4" w:space="0" w:color="000000"/>
            </w:tcBorders>
          </w:tcPr>
          <w:p>
            <w:pPr>
              <w:pStyle w:val="Normal"/>
              <w:spacing w:before="120" w:after="120"/>
              <w:ind w:right="175"/>
              <w:rPr/>
            </w:pPr>
            <w:r>
              <w:rPr>
                <w:rFonts w:cs="Arial" w:ascii="Arial" w:hAnsi="Arial"/>
              </w:rPr>
              <w:t xml:space="preserve">Organisational and effective time management skills, to manage own workload and work to deadlines and </w:t>
            </w:r>
            <w:r>
              <w:rPr>
                <w:rFonts w:cs="Arial" w:ascii="Arial" w:hAnsi="Arial"/>
                <w:color w:val="000000"/>
              </w:rPr>
              <w:t>changing priorities.</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 / Assessment</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6.</w:t>
            </w:r>
          </w:p>
        </w:tc>
        <w:tc>
          <w:tcPr>
            <w:tcW w:w="5811" w:type="dxa"/>
            <w:gridSpan w:val="4"/>
            <w:tcBorders>
              <w:bottom w:val="single" w:sz="4" w:space="0" w:color="000000"/>
              <w:right w:val="single" w:sz="4" w:space="0" w:color="000000"/>
            </w:tcBorders>
          </w:tcPr>
          <w:p>
            <w:pPr>
              <w:pStyle w:val="Normal"/>
              <w:spacing w:before="0" w:after="0"/>
              <w:rPr/>
            </w:pPr>
            <w:r>
              <w:rPr>
                <w:rFonts w:cs="Arial" w:ascii="Arial" w:hAnsi="Arial"/>
              </w:rPr>
              <w:t xml:space="preserve">Verbal, numerical and written communication skills in order to present </w:t>
            </w:r>
            <w:r>
              <w:rPr>
                <w:rFonts w:cs="Arial" w:ascii="Arial" w:hAnsi="Arial"/>
                <w:color w:val="000000"/>
              </w:rPr>
              <w:t xml:space="preserve">complex </w:t>
            </w:r>
            <w:r>
              <w:rPr>
                <w:rFonts w:cs="Arial" w:ascii="Arial" w:hAnsi="Arial"/>
              </w:rPr>
              <w:t>data in a variety of formats.</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7.</w:t>
            </w:r>
          </w:p>
        </w:tc>
        <w:tc>
          <w:tcPr>
            <w:tcW w:w="5811" w:type="dxa"/>
            <w:gridSpan w:val="4"/>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produce reports and summarise concisely key trends or information to individuals at all levels to and from a range of different internal and external agencies.</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 / Assessment</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8.</w:t>
            </w:r>
          </w:p>
        </w:tc>
        <w:tc>
          <w:tcPr>
            <w:tcW w:w="5811" w:type="dxa"/>
            <w:gridSpan w:val="4"/>
            <w:tcBorders>
              <w:bottom w:val="single" w:sz="4" w:space="0" w:color="000000"/>
              <w:right w:val="single" w:sz="4" w:space="0" w:color="000000"/>
            </w:tcBorders>
          </w:tcPr>
          <w:p>
            <w:pPr>
              <w:pStyle w:val="Normal"/>
              <w:spacing w:before="0" w:after="0"/>
              <w:rPr>
                <w:rFonts w:ascii="Arial" w:hAnsi="Arial" w:cs="Arial"/>
              </w:rPr>
            </w:pPr>
            <w:r>
              <w:rPr>
                <w:rFonts w:cs="Arial" w:ascii="Arial" w:hAnsi="Arial"/>
              </w:rPr>
              <w:t>Ability to effectively use desktop applications including (Microsoft Office) MS Word, Excel, Access, PowerPoint.</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9.</w:t>
            </w:r>
          </w:p>
        </w:tc>
        <w:tc>
          <w:tcPr>
            <w:tcW w:w="5811" w:type="dxa"/>
            <w:gridSpan w:val="4"/>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work individually and as part of a team.</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 / Assessment</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10.</w:t>
            </w:r>
          </w:p>
        </w:tc>
        <w:tc>
          <w:tcPr>
            <w:tcW w:w="5811" w:type="dxa"/>
            <w:gridSpan w:val="4"/>
            <w:tcBorders>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Ability to manage data and information in line with policy and protocol.</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11.</w:t>
            </w:r>
          </w:p>
        </w:tc>
        <w:tc>
          <w:tcPr>
            <w:tcW w:w="5811" w:type="dxa"/>
            <w:gridSpan w:val="4"/>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evaluate and improve ways of working.</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 / Assessment</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12.</w:t>
            </w:r>
          </w:p>
        </w:tc>
        <w:tc>
          <w:tcPr>
            <w:tcW w:w="5811" w:type="dxa"/>
            <w:gridSpan w:val="4"/>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Ability to co-ordinate and deliver training for business intelligence professionals.</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 / Assessment</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13. </w:t>
            </w:r>
          </w:p>
        </w:tc>
        <w:tc>
          <w:tcPr>
            <w:tcW w:w="5811" w:type="dxa"/>
            <w:gridSpan w:val="4"/>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Effective project management skills and the ability to lead others in the delivery of complex projects</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 / Assessment</w:t>
            </w:r>
          </w:p>
        </w:tc>
      </w:tr>
      <w:tr>
        <w:trPr>
          <w:cantSplit w:val="true"/>
        </w:trPr>
        <w:tc>
          <w:tcPr>
            <w:tcW w:w="675" w:type="dxa"/>
            <w:tcBorders>
              <w:left w:val="single" w:sz="4" w:space="0" w:color="000000"/>
              <w:bottom w:val="single" w:sz="4" w:space="0" w:color="000000"/>
            </w:tcBorders>
          </w:tcPr>
          <w:p>
            <w:pPr>
              <w:pStyle w:val="Normal"/>
              <w:spacing w:before="120" w:after="120"/>
              <w:rPr>
                <w:rFonts w:ascii="Arial" w:hAnsi="Arial" w:cs="Arial"/>
              </w:rPr>
            </w:pPr>
            <w:r>
              <w:rPr>
                <w:rFonts w:cs="Arial" w:ascii="Arial" w:hAnsi="Arial"/>
              </w:rPr>
              <w:t>14.</w:t>
            </w:r>
          </w:p>
        </w:tc>
        <w:tc>
          <w:tcPr>
            <w:tcW w:w="5811" w:type="dxa"/>
            <w:gridSpan w:val="4"/>
            <w:tcBorders>
              <w:bottom w:val="single" w:sz="4" w:space="0" w:color="000000"/>
              <w:right w:val="single" w:sz="4" w:space="0" w:color="000000"/>
            </w:tcBorders>
          </w:tcPr>
          <w:p>
            <w:pPr>
              <w:pStyle w:val="Normal"/>
              <w:spacing w:before="120" w:after="120"/>
              <w:ind w:right="175"/>
              <w:rPr>
                <w:rFonts w:ascii="Arial" w:hAnsi="Arial" w:cs="Arial"/>
              </w:rPr>
            </w:pPr>
            <w:r>
              <w:rPr>
                <w:rFonts w:cs="Arial" w:ascii="Arial" w:hAnsi="Arial"/>
              </w:rPr>
              <w:t>Effective networking and partnership skills in order to identify and analyse data trends to support collaborative approaches to decision making</w:t>
            </w:r>
          </w:p>
        </w:tc>
        <w:tc>
          <w:tcPr>
            <w:tcW w:w="3579" w:type="dxa"/>
            <w:tcBorders>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675" w:type="dxa"/>
            <w:tcBorders>
              <w:left w:val="single" w:sz="4" w:space="0" w:color="000000"/>
            </w:tcBorders>
          </w:tcPr>
          <w:p>
            <w:pPr>
              <w:pStyle w:val="Normal"/>
              <w:spacing w:before="120" w:after="120"/>
              <w:rPr>
                <w:rFonts w:ascii="Arial" w:hAnsi="Arial" w:cs="Arial"/>
              </w:rPr>
            </w:pPr>
            <w:r>
              <w:rPr>
                <w:rFonts w:cs="Arial" w:ascii="Arial" w:hAnsi="Arial"/>
              </w:rPr>
              <w:t>15.</w:t>
            </w:r>
          </w:p>
        </w:tc>
        <w:tc>
          <w:tcPr>
            <w:tcW w:w="5811" w:type="dxa"/>
            <w:gridSpan w:val="4"/>
            <w:tcBorders>
              <w:right w:val="single" w:sz="4" w:space="0" w:color="000000"/>
            </w:tcBorders>
          </w:tcPr>
          <w:p>
            <w:pPr>
              <w:pStyle w:val="Normal"/>
              <w:spacing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579" w:type="dxa"/>
            <w:tcBorders>
              <w:left w:val="single" w:sz="4" w:space="0" w:color="000000"/>
              <w:right w:val="single" w:sz="4" w:space="0" w:color="000000"/>
            </w:tcBorders>
          </w:tcPr>
          <w:p>
            <w:pPr>
              <w:pStyle w:val="Normal"/>
              <w:spacing w:before="120" w:after="120"/>
              <w:rPr>
                <w:rFonts w:ascii="Arial" w:hAnsi="Arial" w:cs="Arial"/>
              </w:rPr>
            </w:pPr>
            <w:r>
              <w:rPr>
                <w:rFonts w:cs="Arial" w:ascii="Arial" w:hAnsi="Arial"/>
              </w:rPr>
              <w:t>Interview</w:t>
            </w:r>
          </w:p>
        </w:tc>
      </w:tr>
      <w:tr>
        <w:trPr>
          <w:cantSplit w:val="true"/>
        </w:trPr>
        <w:tc>
          <w:tcPr>
            <w:tcW w:w="1006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2.</w:t>
              <w:tab/>
              <w:t>Experience/Qualifications/Training etc</w:t>
            </w:r>
          </w:p>
        </w:tc>
      </w:tr>
      <w:tr>
        <w:trPr>
          <w:cantSplit w:val="true"/>
        </w:trPr>
        <w:tc>
          <w:tcPr>
            <w:tcW w:w="708" w:type="dxa"/>
            <w:gridSpan w:val="2"/>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color w:val="000000"/>
              </w:rPr>
            </w:pPr>
            <w:r>
              <w:rPr>
                <w:rFonts w:cs="Arial" w:ascii="Arial" w:hAnsi="Arial"/>
                <w:color w:val="000000"/>
              </w:rPr>
              <w:t xml:space="preserve">Degree level qualification or equivalent experience in a relevant discipline e.g. Maths, ICT, Statistics </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 xml:space="preserve">Application Form / Interview </w:t>
            </w:r>
          </w:p>
        </w:tc>
      </w:tr>
      <w:tr>
        <w:trPr>
          <w:cantSplit w:val="true"/>
        </w:trPr>
        <w:tc>
          <w:tcPr>
            <w:tcW w:w="708" w:type="dxa"/>
            <w:gridSpan w:val="2"/>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color w:val="000000"/>
              </w:rPr>
            </w:pPr>
            <w:r>
              <w:rPr>
                <w:rFonts w:cs="Arial" w:ascii="Arial" w:hAnsi="Arial"/>
                <w:color w:val="000000"/>
              </w:rPr>
              <w:t>Experience of working with information in a public sector organisation.</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708" w:type="dxa"/>
            <w:gridSpan w:val="2"/>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 xml:space="preserve">3. </w:t>
            </w:r>
          </w:p>
        </w:tc>
        <w:tc>
          <w:tcPr>
            <w:tcW w:w="5759"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color w:val="000000"/>
              </w:rPr>
            </w:pPr>
            <w:r>
              <w:rPr>
                <w:rFonts w:cs="Arial" w:ascii="Arial" w:hAnsi="Arial"/>
                <w:color w:val="000000"/>
              </w:rPr>
              <w:t>Experience of working with confidential or sensitive data, and an understanding of data protection principles and GDPR.</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 / Assessment</w:t>
            </w:r>
          </w:p>
        </w:tc>
      </w:tr>
      <w:tr>
        <w:trPr>
          <w:cantSplit w:val="true"/>
        </w:trPr>
        <w:tc>
          <w:tcPr>
            <w:tcW w:w="708" w:type="dxa"/>
            <w:gridSpan w:val="2"/>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4.</w:t>
            </w:r>
          </w:p>
        </w:tc>
        <w:tc>
          <w:tcPr>
            <w:tcW w:w="5759"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color w:val="000000"/>
              </w:rPr>
            </w:pPr>
            <w:r>
              <w:rPr>
                <w:rFonts w:cs="Arial" w:ascii="Arial" w:hAnsi="Arial"/>
                <w:color w:val="000000"/>
              </w:rPr>
              <w:t>Experience of managing a team of ICT / data professionals</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10065" w:type="dxa"/>
            <w:gridSpan w:val="6"/>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rPr>
            </w:pPr>
            <w:r>
              <w:rPr>
                <w:rFonts w:cs="Arial" w:ascii="Arial" w:hAnsi="Arial"/>
                <w:b/>
              </w:rPr>
              <w:t>3.</w:t>
              <w:tab/>
              <w:t>Work Related Circumstances</w:t>
            </w:r>
          </w:p>
        </w:tc>
      </w:tr>
      <w:tr>
        <w:trPr>
          <w:cantSplit w:val="true"/>
        </w:trPr>
        <w:tc>
          <w:tcPr>
            <w:tcW w:w="708" w:type="dxa"/>
            <w:gridSpan w:val="2"/>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1.</w:t>
            </w:r>
          </w:p>
        </w:tc>
        <w:tc>
          <w:tcPr>
            <w:tcW w:w="5759"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708" w:type="dxa"/>
            <w:gridSpan w:val="2"/>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2.</w:t>
            </w:r>
          </w:p>
        </w:tc>
        <w:tc>
          <w:tcPr>
            <w:tcW w:w="5759"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 / Interview</w:t>
            </w:r>
          </w:p>
        </w:tc>
      </w:tr>
      <w:tr>
        <w:trPr>
          <w:cantSplit w:val="true"/>
        </w:trPr>
        <w:tc>
          <w:tcPr>
            <w:tcW w:w="708" w:type="dxa"/>
            <w:gridSpan w:val="2"/>
            <w:tcBorders>
              <w:top w:val="single" w:sz="4" w:space="0" w:color="000000"/>
              <w:left w:val="single" w:sz="4" w:space="0" w:color="000000"/>
              <w:bottom w:val="single" w:sz="4" w:space="0" w:color="000000"/>
            </w:tcBorders>
          </w:tcPr>
          <w:p>
            <w:pPr>
              <w:pStyle w:val="Normal"/>
              <w:spacing w:before="120" w:after="120"/>
              <w:rPr>
                <w:rFonts w:ascii="Arial" w:hAnsi="Arial" w:cs="Arial"/>
              </w:rPr>
            </w:pPr>
            <w:r>
              <w:rPr>
                <w:rFonts w:cs="Arial" w:ascii="Arial" w:hAnsi="Arial"/>
              </w:rPr>
              <w:t>3.</w:t>
            </w:r>
          </w:p>
        </w:tc>
        <w:tc>
          <w:tcPr>
            <w:tcW w:w="5759" w:type="dxa"/>
            <w:gridSpan w:val="2"/>
            <w:tcBorders>
              <w:top w:val="single" w:sz="4" w:space="0" w:color="000000"/>
              <w:bottom w:val="single" w:sz="4" w:space="0" w:color="000000"/>
              <w:right w:val="single" w:sz="4" w:space="0" w:color="000000"/>
            </w:tcBorders>
          </w:tcPr>
          <w:p>
            <w:pPr>
              <w:pStyle w:val="Normal"/>
              <w:spacing w:before="120" w:after="120"/>
              <w:rPr>
                <w:rFonts w:ascii="Arial" w:hAnsi="Arial" w:cs="Arial"/>
                <w:color w:val="000000"/>
              </w:rPr>
            </w:pPr>
            <w:r>
              <w:rPr>
                <w:rFonts w:cs="Arial" w:ascii="Arial" w:hAnsi="Arial"/>
                <w:color w:val="000000"/>
              </w:rPr>
              <w:t>This role requires the job holder to occasionally work outside of normal office hours, for example at evenings and weekends, to meet the needs of the service.</w:t>
            </w:r>
          </w:p>
        </w:tc>
        <w:tc>
          <w:tcPr>
            <w:tcW w:w="3598"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rPr>
                <w:rFonts w:ascii="Arial" w:hAnsi="Arial" w:cs="Arial"/>
              </w:rPr>
            </w:pPr>
            <w:r>
              <w:rPr>
                <w:rFonts w:cs="Arial" w:ascii="Arial" w:hAnsi="Arial"/>
              </w:rPr>
              <w:t>Application form</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9628" w:type="dxa"/>
        <w:jc w:val="left"/>
        <w:tblInd w:w="108" w:type="dxa"/>
        <w:tblLayout w:type="fixed"/>
        <w:tblCellMar>
          <w:top w:w="0" w:type="dxa"/>
          <w:left w:w="108" w:type="dxa"/>
          <w:bottom w:w="0" w:type="dxa"/>
          <w:right w:w="108" w:type="dxa"/>
        </w:tblCellMar>
      </w:tblPr>
      <w:tblGrid>
        <w:gridCol w:w="646"/>
        <w:gridCol w:w="1084"/>
        <w:gridCol w:w="4082"/>
        <w:gridCol w:w="393"/>
        <w:gridCol w:w="3423"/>
      </w:tblGrid>
      <w:tr>
        <w:trPr>
          <w:trHeight w:val="653" w:hRule="atLeast"/>
        </w:trPr>
        <w:tc>
          <w:tcPr>
            <w:tcW w:w="173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4"/>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3"/>
            <w:tcBorders>
              <w:top w:val="single" w:sz="4" w:space="0" w:color="000000"/>
              <w:bottom w:val="single" w:sz="4" w:space="0" w:color="000000"/>
              <w:right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Understanding of the issues facing Local Government Adults and Children’s Services</w:t>
            </w:r>
          </w:p>
        </w:tc>
        <w:tc>
          <w:tcPr>
            <w:tcW w:w="34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120" w:after="120"/>
              <w:rPr>
                <w:rFonts w:ascii="Arial" w:hAnsi="Arial" w:cs="Arial"/>
                <w:color w:val="000000"/>
              </w:rPr>
            </w:pPr>
            <w:r>
              <w:rPr>
                <w:rFonts w:cs="Arial" w:ascii="Arial" w:hAnsi="Arial"/>
                <w:color w:val="000000"/>
              </w:rPr>
              <w:t>Application form / Interview / Assessment</w:t>
            </w:r>
          </w:p>
        </w:tc>
      </w:tr>
      <w:tr>
        <w:trPr>
          <w:cantSplit w:val="true"/>
        </w:trPr>
        <w:tc>
          <w:tcPr>
            <w:tcW w:w="962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5559" w:type="dxa"/>
            <w:gridSpan w:val="3"/>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3"/>
            <w:tcBorders/>
          </w:tcPr>
          <w:p>
            <w:pPr>
              <w:pStyle w:val="Normal"/>
              <w:snapToGrid w:val="false"/>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2"/>
            <w:tcBorders/>
          </w:tcPr>
          <w:p>
            <w:pPr>
              <w:pStyle w:val="Normal"/>
              <w:snapToGrid w:val="false"/>
              <w:spacing w:lineRule="auto" w:line="240" w:before="0" w:after="0"/>
              <w:rPr>
                <w:rFonts w:ascii="Arial" w:hAnsi="Arial" w:cs="Arial"/>
                <w:bCs/>
              </w:rPr>
            </w:pPr>
            <w:r>
              <w:rPr>
                <w:rFonts w:cs="Arial" w:ascii="Arial" w:hAnsi="Arial"/>
                <w:bCs/>
              </w:rPr>
            </w:r>
          </w:p>
          <w:p>
            <w:pPr>
              <w:pStyle w:val="Normal"/>
              <w:spacing w:lineRule="auto" w:line="240" w:before="0" w:after="0"/>
              <w:rPr>
                <w:rFonts w:ascii="Arial" w:hAnsi="Arial" w:cs="Arial"/>
                <w:bCs/>
              </w:rPr>
            </w:pPr>
            <w:r>
              <w:rPr>
                <w:rFonts w:cs="Arial" w:ascii="Arial" w:hAnsi="Arial"/>
                <w:bCs/>
              </w:rPr>
              <w:t>August 2026</w:t>
            </w:r>
          </w:p>
        </w:tc>
      </w:tr>
      <w:tr>
        <w:trPr/>
        <w:tc>
          <w:tcPr>
            <w:tcW w:w="5812" w:type="dxa"/>
            <w:gridSpan w:val="3"/>
            <w:tcBorders/>
          </w:tcPr>
          <w:p>
            <w:pPr>
              <w:pStyle w:val="Normal"/>
              <w:spacing w:lineRule="auto" w:line="240" w:before="0" w:after="0"/>
              <w:rPr>
                <w:rFonts w:ascii="Arial" w:hAnsi="Arial" w:cs="Arial"/>
                <w:b/>
              </w:rPr>
            </w:pPr>
            <w:r>
              <w:rPr>
                <w:rFonts w:cs="Arial" w:ascii="Arial" w:hAnsi="Arial"/>
                <w:b/>
              </w:rPr>
              <w:t>Person Specification prepared by</w:t>
            </w:r>
          </w:p>
        </w:tc>
        <w:tc>
          <w:tcPr>
            <w:tcW w:w="3816" w:type="dxa"/>
            <w:gridSpan w:val="2"/>
            <w:tcBorders/>
          </w:tcPr>
          <w:p>
            <w:pPr>
              <w:pStyle w:val="Normal"/>
              <w:spacing w:lineRule="auto" w:line="240" w:before="0" w:after="0"/>
              <w:rPr>
                <w:rFonts w:ascii="Arial" w:hAnsi="Arial" w:cs="Arial"/>
                <w:bCs/>
              </w:rPr>
            </w:pPr>
            <w:r>
              <w:rPr>
                <w:rFonts w:cs="Arial" w:ascii="Arial" w:hAnsi="Arial"/>
                <w:bCs/>
              </w:rPr>
              <w:t>Strategy &amp; Partnerships Manager</w:t>
            </w:r>
          </w:p>
        </w:tc>
      </w:tr>
    </w:tbl>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56" w:before="0" w:after="160"/>
        <w:rPr>
          <w:rFonts w:ascii="Arial" w:hAnsi="Arial" w:cs="Arial"/>
          <w:b/>
        </w:rPr>
      </w:pPr>
      <w:r>
        <w:rPr>
          <w:rFonts w:cs="Arial" w:ascii="Arial" w:hAnsi="Arial"/>
          <w:b/>
        </w:rPr>
      </w:r>
      <w:r>
        <w:br w:type="page"/>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footerReference w:type="default" r:id="rId8"/>
      <w:type w:val="nextPage"/>
      <w:pgSz w:w="11906" w:h="16838"/>
      <w:pgMar w:left="1134" w:right="1134" w:gutter="0" w:header="0"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Arial"/>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Times New Roman"/>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Times New Roman"/>
      <w:color w:val="2F5496"/>
      <w:sz w:val="26"/>
      <w:szCs w:val="26"/>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Heading1Char">
    <w:name w:val="Heading 1 Char"/>
    <w:basedOn w:val="DefaultParagraphFont"/>
    <w:qFormat/>
    <w:rPr>
      <w:rFonts w:ascii="Calibri Light" w:hAnsi="Calibri Light" w:eastAsia="" w:cs="Times New Roman"/>
      <w:color w:val="2F5496"/>
      <w:sz w:val="32"/>
      <w:szCs w:val="32"/>
    </w:rPr>
  </w:style>
  <w:style w:type="character" w:styleId="Heading2Char">
    <w:name w:val="Heading 2 Char"/>
    <w:basedOn w:val="DefaultParagraphFont"/>
    <w:qFormat/>
    <w:rPr>
      <w:rFonts w:ascii="Calibri Light" w:hAnsi="Calibri Light" w:eastAsia="" w:cs="Times New Roman"/>
      <w:color w:val="2F5496"/>
      <w:sz w:val="26"/>
      <w:szCs w:val="26"/>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