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3">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4">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6">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9494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9494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9494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9494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4"/>
        <w:gridCol w:w="7003"/>
      </w:tblGrid>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7003" w:type="dxa"/>
            <w:tcBorders/>
            <w:shd w:fill="auto" w:val="clear"/>
          </w:tcPr>
          <w:p>
            <w:pPr>
              <w:pStyle w:val="Normal"/>
              <w:spacing w:lineRule="auto" w:line="240" w:before="0" w:after="0"/>
              <w:rPr>
                <w:rFonts w:ascii="Arial" w:hAnsi="Arial" w:cs="Arial"/>
                <w:b/>
                <w:b/>
                <w:bCs/>
              </w:rPr>
            </w:pPr>
            <w:r>
              <w:rPr>
                <w:rFonts w:cs="Arial" w:ascii="Arial" w:hAnsi="Arial"/>
                <w:b/>
                <w:bCs/>
              </w:rPr>
              <w:t>Department of Place</w:t>
            </w:r>
          </w:p>
        </w:tc>
      </w:tr>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Job Title</w:t>
            </w:r>
          </w:p>
        </w:tc>
        <w:tc>
          <w:tcPr>
            <w:tcW w:w="7003" w:type="dxa"/>
            <w:tcBorders/>
            <w:shd w:fill="auto" w:val="clear"/>
          </w:tcPr>
          <w:p>
            <w:pPr>
              <w:pStyle w:val="Normal"/>
              <w:snapToGrid w:val="false"/>
              <w:spacing w:lineRule="auto" w:line="240" w:before="0" w:after="0"/>
              <w:rPr>
                <w:rFonts w:ascii="Arial" w:hAnsi="Arial" w:cs="Arial"/>
                <w:b/>
                <w:b/>
                <w:bCs/>
              </w:rPr>
            </w:pPr>
            <w:r>
              <w:rPr>
                <w:rFonts w:cs="Arial" w:ascii="Arial" w:hAnsi="Arial"/>
                <w:b/>
                <w:bCs/>
              </w:rPr>
            </w:r>
          </w:p>
          <w:p>
            <w:pPr>
              <w:pStyle w:val="Normal"/>
              <w:spacing w:lineRule="auto" w:line="240" w:before="0" w:after="0"/>
              <w:rPr>
                <w:rFonts w:ascii="Arial" w:hAnsi="Arial" w:cs="Arial"/>
                <w:b/>
                <w:b/>
                <w:bCs/>
              </w:rPr>
            </w:pPr>
            <w:r>
              <w:rPr>
                <w:rFonts w:cs="Arial" w:ascii="Arial" w:hAnsi="Arial"/>
                <w:b/>
                <w:bCs/>
              </w:rPr>
              <w:t>Markets Manager (Operations)</w:t>
            </w:r>
          </w:p>
          <w:p>
            <w:pPr>
              <w:pStyle w:val="Normal"/>
              <w:spacing w:lineRule="auto" w:line="240" w:before="0" w:after="0"/>
              <w:rPr>
                <w:rFonts w:ascii="Arial" w:hAnsi="Arial" w:cs="Arial"/>
                <w:b/>
                <w:b/>
                <w:bCs/>
              </w:rPr>
            </w:pPr>
            <w:r>
              <w:rPr>
                <w:rFonts w:cs="Arial" w:ascii="Arial" w:hAnsi="Arial"/>
                <w:b/>
                <w:bCs/>
              </w:rPr>
            </w:r>
          </w:p>
        </w:tc>
      </w:tr>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Grade</w:t>
            </w:r>
          </w:p>
        </w:tc>
        <w:tc>
          <w:tcPr>
            <w:tcW w:w="7003" w:type="dxa"/>
            <w:tcBorders/>
            <w:shd w:fill="auto" w:val="clear"/>
          </w:tcPr>
          <w:p>
            <w:pPr>
              <w:pStyle w:val="Normal"/>
              <w:spacing w:lineRule="auto" w:line="240" w:before="0" w:after="0"/>
              <w:rPr>
                <w:rFonts w:ascii="Arial" w:hAnsi="Arial" w:cs="Arial"/>
                <w:b/>
                <w:b/>
                <w:bCs/>
              </w:rPr>
            </w:pPr>
            <w:r>
              <w:rPr>
                <w:rFonts w:cs="Arial" w:ascii="Arial" w:hAnsi="Arial"/>
                <w:b/>
                <w:bCs/>
              </w:rPr>
              <w:t>GRADE H</w:t>
            </w:r>
          </w:p>
        </w:tc>
      </w:tr>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7003" w:type="dxa"/>
            <w:tcBorders/>
            <w:shd w:fill="auto" w:val="clear"/>
          </w:tcPr>
          <w:p>
            <w:pPr>
              <w:pStyle w:val="Normal"/>
              <w:spacing w:lineRule="auto" w:line="240" w:before="60" w:after="60"/>
              <w:rPr>
                <w:rFonts w:ascii="Arial" w:hAnsi="Arial" w:cs="Arial"/>
              </w:rPr>
            </w:pPr>
            <w:r>
              <w:rPr>
                <w:rFonts w:cs="Arial" w:ascii="Arial" w:hAnsi="Arial"/>
              </w:rPr>
              <w:t xml:space="preserve">To manage and develop Bolton market and market events portfolio across the Borough. </w:t>
            </w:r>
          </w:p>
        </w:tc>
      </w:tr>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7003" w:type="dxa"/>
            <w:tcBorders/>
            <w:shd w:fill="auto" w:val="clear"/>
          </w:tcPr>
          <w:p>
            <w:pPr>
              <w:pStyle w:val="Normal"/>
              <w:spacing w:lineRule="auto" w:line="240" w:before="60" w:after="60"/>
              <w:rPr>
                <w:rFonts w:ascii="Arial" w:hAnsi="Arial" w:cs="Arial"/>
              </w:rPr>
            </w:pPr>
            <w:r>
              <w:rPr>
                <w:rFonts w:cs="Arial" w:ascii="Arial" w:hAnsi="Arial"/>
              </w:rPr>
              <w:t>Markets General Manager</w:t>
            </w:r>
          </w:p>
        </w:tc>
      </w:tr>
      <w:tr>
        <w:trPr>
          <w:trHeight w:val="506" w:hRule="atLeast"/>
        </w:trPr>
        <w:tc>
          <w:tcPr>
            <w:tcW w:w="2634" w:type="dxa"/>
            <w:tcBorders/>
            <w:shd w:fill="auto" w:val="clear"/>
          </w:tcPr>
          <w:p>
            <w:pPr>
              <w:pStyle w:val="Normal"/>
              <w:spacing w:lineRule="auto" w:line="240" w:before="0" w:after="0"/>
              <w:rPr>
                <w:rFonts w:ascii="Arial" w:hAnsi="Arial" w:cs="Arial"/>
                <w:b/>
                <w:b/>
              </w:rPr>
            </w:pPr>
            <w:r>
              <w:rPr>
                <w:rFonts w:cs="Arial" w:ascii="Arial" w:hAnsi="Arial"/>
                <w:b/>
              </w:rPr>
              <w:t>Staffing Responsibilities</w:t>
            </w:r>
          </w:p>
        </w:tc>
        <w:tc>
          <w:tcPr>
            <w:tcW w:w="7003" w:type="dxa"/>
            <w:tcBorders/>
            <w:shd w:fill="auto" w:val="clear"/>
          </w:tcPr>
          <w:p>
            <w:pPr>
              <w:pStyle w:val="Normal"/>
              <w:spacing w:lineRule="auto" w:line="240" w:before="60" w:after="60"/>
              <w:rPr>
                <w:rFonts w:ascii="Arial" w:hAnsi="Arial" w:cs="Arial"/>
              </w:rPr>
            </w:pPr>
            <w:r>
              <w:rPr>
                <w:rFonts w:cs="Arial" w:ascii="Arial" w:hAnsi="Arial"/>
              </w:rPr>
              <w:t>Markets Officers, Chargehands, Market Porters</w:t>
            </w:r>
          </w:p>
          <w:p>
            <w:pPr>
              <w:pStyle w:val="Normal"/>
              <w:spacing w:lineRule="auto" w:line="240" w:before="60" w:after="60"/>
              <w:rPr>
                <w:rFonts w:ascii="Arial" w:hAnsi="Arial" w:cs="Arial"/>
              </w:rPr>
            </w:pPr>
            <w:r>
              <w:rPr>
                <w:rFonts w:cs="Arial" w:ascii="Arial" w:hAnsi="Arial"/>
              </w:rPr>
            </w:r>
          </w:p>
        </w:tc>
      </w:tr>
    </w:tbl>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5"/>
        <w:gridCol w:w="3752"/>
        <w:gridCol w:w="5080"/>
      </w:tblGrid>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32" w:type="dxa"/>
            <w:gridSpan w:val="2"/>
            <w:tcBorders/>
            <w:shd w:fill="auto" w:val="clear"/>
          </w:tcPr>
          <w:p>
            <w:pPr>
              <w:pStyle w:val="Normal"/>
              <w:spacing w:lineRule="auto" w:line="240" w:before="0" w:after="0"/>
              <w:jc w:val="both"/>
              <w:rPr/>
            </w:pPr>
            <w:r>
              <w:rPr>
                <w:rFonts w:cs="Arial" w:ascii="Arial" w:hAnsi="Arial"/>
              </w:rPr>
              <w:t xml:space="preserve">To </w:t>
            </w:r>
            <w:r>
              <w:rPr>
                <w:rFonts w:cs="Arial" w:ascii="Arial" w:hAnsi="Arial"/>
                <w:color w:val="000000"/>
              </w:rPr>
              <w:t xml:space="preserve">support the Markets General Manager in identifying service improvements, reviewing and updating operational procedures, occupancy agreements and processes as required. To be commercially aware, helping to seek out business and partnership opportunities to grow the markets portfolio and implement new retail initiatives. </w:t>
            </w:r>
          </w:p>
          <w:p>
            <w:pPr>
              <w:pStyle w:val="Normal"/>
              <w:spacing w:lineRule="auto" w:line="240" w:before="0" w:after="0"/>
              <w:jc w:val="both"/>
              <w:rPr>
                <w:rFonts w:ascii="Arial" w:hAnsi="Arial" w:cs="Arial"/>
                <w:b/>
                <w:b/>
              </w:rPr>
            </w:pPr>
            <w:r>
              <w:rPr>
                <w:rFonts w:cs="Arial" w:ascii="Arial" w:hAnsi="Arial"/>
                <w:b/>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32" w:type="dxa"/>
            <w:gridSpan w:val="2"/>
            <w:tcBorders/>
            <w:shd w:fill="auto" w:val="clear"/>
          </w:tcPr>
          <w:p>
            <w:pPr>
              <w:pStyle w:val="Normal"/>
              <w:spacing w:lineRule="auto" w:line="240" w:before="0" w:after="0"/>
              <w:rPr/>
            </w:pPr>
            <w:r>
              <w:rPr>
                <w:rFonts w:cs="Arial" w:ascii="Arial" w:hAnsi="Arial"/>
              </w:rPr>
              <w:t xml:space="preserve">Oversee the development, research and upkeep of media systems/information and processes to ensure </w:t>
            </w:r>
            <w:r>
              <w:rPr>
                <w:rFonts w:cs="Arial" w:ascii="Arial" w:hAnsi="Arial"/>
                <w:color w:val="000000"/>
              </w:rPr>
              <w:t>the service maximises its customer relationship opportunities and maximises conversion of visitors to customers</w:t>
            </w:r>
            <w:r>
              <w:rPr>
                <w:rFonts w:cs="Arial" w:ascii="Arial" w:hAnsi="Arial"/>
              </w:rPr>
              <w:t>.</w:t>
            </w:r>
            <w:r>
              <w:rPr>
                <w:rFonts w:cs="Arial" w:ascii="Arial" w:hAnsi="Arial"/>
                <w:color w:val="000000"/>
              </w:rPr>
              <w:t xml:space="preserve"> Working closely with the communications and marketing team to ensure maximum publicity for the service.</w:t>
            </w:r>
          </w:p>
          <w:p>
            <w:pPr>
              <w:pStyle w:val="ListParagraph"/>
              <w:spacing w:lineRule="auto" w:line="240" w:before="0" w:after="0"/>
              <w:contextualSpacing/>
              <w:jc w:val="both"/>
              <w:rPr>
                <w:rFonts w:cs="Arial"/>
              </w:rPr>
            </w:pPr>
            <w:r>
              <w:rPr>
                <w:rFonts w:cs="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32" w:type="dxa"/>
            <w:gridSpan w:val="2"/>
            <w:tcBorders/>
            <w:shd w:fill="auto" w:val="clear"/>
          </w:tcPr>
          <w:p>
            <w:pPr>
              <w:pStyle w:val="Normal"/>
              <w:spacing w:lineRule="auto" w:line="240" w:before="0" w:after="0"/>
              <w:rPr/>
            </w:pPr>
            <w:r>
              <w:rPr>
                <w:rFonts w:cs="Arial" w:ascii="Arial" w:hAnsi="Arial"/>
              </w:rPr>
              <w:t xml:space="preserve">To manage, promote and sustain positive working relationships with tenants and traders in business at Bolton’s Markets, acting as the first point of contact with traders and customers in dealing with queries and complaints. </w:t>
            </w:r>
            <w:r>
              <w:rPr>
                <w:rFonts w:cs="Arial" w:ascii="Arial" w:hAnsi="Arial"/>
                <w:color w:val="000000"/>
              </w:rPr>
              <w:t xml:space="preserve">Working with the Markets General Manager to ensure regular consultation and communication with traders and customers. </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32" w:type="dxa"/>
            <w:gridSpan w:val="2"/>
            <w:tcBorders/>
            <w:shd w:fill="auto" w:val="clear"/>
          </w:tcPr>
          <w:p>
            <w:pPr>
              <w:pStyle w:val="Normal"/>
              <w:spacing w:lineRule="auto" w:line="240" w:before="0" w:after="0"/>
              <w:rPr/>
            </w:pPr>
            <w:r>
              <w:rPr>
                <w:rFonts w:cs="Arial" w:ascii="Arial" w:hAnsi="Arial"/>
                <w:color w:val="000000"/>
              </w:rPr>
              <w:t>To lead on Health &amp; Safety issues ensuring service compliance in terms of Fire Safety, Risk/COSHH assessments and safe methods of work statements and ensuring all traders carry the appropriate third-party insurance. To provide first aid support in relation to accident/incidents across the market for both customers and staff and ensure the recording, reporting and monitoring of incidents.</w:t>
            </w:r>
            <w:r>
              <w:rPr>
                <w:rFonts w:cs="Arial" w:ascii="Arial" w:hAnsi="Arial"/>
              </w:rPr>
              <w:t xml:space="preserve"> To support the Assistant Director in identifying and managing corporate, departmental and service risk.</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ensure the delivery of efficient and effective security services, including locking and unlocking, patrols and controlled access, to provide for the safety of staff, traders and visitors and protection of assets</w:t>
            </w:r>
          </w:p>
          <w:p>
            <w:pPr>
              <w:pStyle w:val="Normal"/>
              <w:spacing w:lineRule="auto" w:line="240" w:before="0" w:after="0"/>
              <w:rPr>
                <w:rFonts w:ascii="Arial" w:hAnsi="Arial" w:cs="Arial"/>
                <w:color w:val="000000"/>
              </w:rPr>
            </w:pPr>
            <w:r>
              <w:rPr>
                <w:rFonts w:cs="Arial" w:ascii="Arial" w:hAnsi="Arial"/>
                <w:color w:val="000000"/>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ensure compliance with the relevant statutory requirements to maintain security of the site.</w:t>
            </w:r>
          </w:p>
          <w:p>
            <w:pPr>
              <w:pStyle w:val="Normal"/>
              <w:spacing w:lineRule="auto" w:line="240" w:before="0" w:after="0"/>
              <w:rPr>
                <w:rFonts w:ascii="Arial" w:hAnsi="Arial" w:cs="Arial"/>
                <w:color w:val="000000"/>
              </w:rPr>
            </w:pPr>
            <w:r>
              <w:rPr>
                <w:rFonts w:cs="Arial" w:ascii="Arial" w:hAnsi="Arial"/>
                <w:color w:val="000000"/>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attend markets-related meetings, seminars and training sessions as required. To manage and organise large and small-scale events with council partners and associates including Bolton’s annual Food and Drink festival, teenage market and other specialist events.</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monitor and enforce trader compliance with market rules and regulations, by organising and conducting regular patrols of the market, stall inspections, monitoring and managing build out and ensuring food standards/hygiene compliance. Undertake enforcement to deal with any breaches, the application of fees/penalty charges and the issue of warning letters. Liaising with environmental health and trading standard officers as appropriate in managing food traders and tenants on all aspects of food standards/hygiene compliance in line with legislative procedure and practice.</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 xml:space="preserve">Ensuring that all traders are covered by the appropriate licence on their allocated stall, to include casual, regular and leasehold traders. Undertake arrears management of licenced/leased traders including the initiating of debt recovery procedures and relevant communications to traders. </w:t>
            </w:r>
          </w:p>
          <w:p>
            <w:pPr>
              <w:pStyle w:val="Normal"/>
              <w:spacing w:lineRule="auto" w:line="240" w:before="0" w:after="0"/>
              <w:rPr>
                <w:rFonts w:ascii="Arial" w:hAnsi="Arial" w:cs="Arial"/>
                <w:color w:val="000000"/>
              </w:rPr>
            </w:pPr>
            <w:r>
              <w:rPr>
                <w:rFonts w:cs="Arial" w:ascii="Arial" w:hAnsi="Arial"/>
                <w:color w:val="000000"/>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 xml:space="preserve">Manage and arrange repairs and maintenance for the service in line with council procedures and practice. Identify and report any market premises repair or maintenance issues as appropriate. Assist with the ordering of work and supervision and support of contractors on site. Assist the Markets General Manager to ensure statutory compliance for the building and premises. </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ensure the smooth running of the Customer Service Office and Porter, Cleaning and Security Service at Bolton Market, ensuring minimum staff cover at all times. To manage the Compound area and Old Hall Street off-site storage facility.</w:t>
            </w:r>
          </w:p>
          <w:p>
            <w:pPr>
              <w:pStyle w:val="Normal"/>
              <w:spacing w:lineRule="auto" w:line="240" w:before="0" w:after="0"/>
              <w:rPr>
                <w:rFonts w:ascii="Arial" w:hAnsi="Arial" w:cs="Arial"/>
                <w:color w:val="000000"/>
              </w:rPr>
            </w:pPr>
            <w:r>
              <w:rPr>
                <w:rFonts w:cs="Arial" w:ascii="Arial" w:hAnsi="Arial"/>
                <w:color w:val="000000"/>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Manage staff in accordance with the council’s people management policies, procedures and guidance in areas including recruitment, induction, training, targets, staff rotas, holidays, sickness absence, payroll returns, discipline and grievance.</w:t>
            </w:r>
          </w:p>
          <w:p>
            <w:pPr>
              <w:pStyle w:val="Normal"/>
              <w:spacing w:lineRule="auto" w:line="240" w:before="0" w:after="0"/>
              <w:rPr>
                <w:rFonts w:ascii="Arial" w:hAnsi="Arial" w:cs="Arial"/>
                <w:color w:val="000000"/>
              </w:rPr>
            </w:pPr>
            <w:r>
              <w:rPr>
                <w:rFonts w:cs="Arial" w:ascii="Arial" w:hAnsi="Arial"/>
                <w:color w:val="000000"/>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have a detailed knowledge of policies and procedures relevant to Consumer Law, Sale of Goods Act, Food Hygiene and Pest Control. Produce and maintain Risk/COSHH assessments and Safe Method of Work statements for operational staff.</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assist in the development of the Departmental Strategic Plan. To manage and deliver on key tasks and priorities in the Council’s Community Strategy, Bolton Plan and department’s Strategic Plan and implement strategic initiatives to improve services.</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To monitor, develop and report on the performance of the service and of tenants and traders, ensuring compliance to relevant performance measures and the latest trends in retailing. Helping to identify strategic resource options as required.</w:t>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Provide the Markets General Manager with performance information as required and assist with the development and delivery of performance measures producing service plans to fit with Department’s strategic plan and other organisational strategies.</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32" w:type="dxa"/>
            <w:gridSpan w:val="2"/>
            <w:tcBorders/>
            <w:shd w:fill="auto" w:val="clear"/>
          </w:tcPr>
          <w:p>
            <w:pPr>
              <w:pStyle w:val="Normal"/>
              <w:spacing w:lineRule="auto" w:line="240" w:before="0" w:after="0"/>
              <w:rPr>
                <w:rFonts w:ascii="Arial" w:hAnsi="Arial" w:cs="Arial"/>
                <w:color w:val="000000"/>
              </w:rPr>
            </w:pPr>
            <w:r>
              <w:rPr>
                <w:rFonts w:cs="Arial" w:ascii="Arial" w:hAnsi="Arial"/>
                <w:color w:val="000000"/>
              </w:rPr>
              <w:t>Ensuring the proper collection of daily income including receipting, reconciling and banking of income, cash controls, security of access to safes and investigating and reporting irregularities. Access reports from computer systems MACCS &amp; PARIS. Monitoring of electrical meter readings across the market.</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32" w:type="dxa"/>
            <w:gridSpan w:val="2"/>
            <w:tcBorders/>
            <w:shd w:fill="auto" w:val="clear"/>
          </w:tcPr>
          <w:p>
            <w:pPr>
              <w:pStyle w:val="Normal"/>
              <w:spacing w:lineRule="auto" w:line="240" w:before="0" w:after="0"/>
              <w:rPr>
                <w:rFonts w:ascii="Arial" w:hAnsi="Arial" w:cs="Arial"/>
              </w:rPr>
            </w:pPr>
            <w:r>
              <w:rPr>
                <w:rFonts w:cs="Arial" w:ascii="Arial" w:hAnsi="Arial"/>
              </w:rPr>
              <w:t xml:space="preserve">To supervise trader/contractor parking and use of the trader loading bay. Monitor customer parking and liaise with NCP on parking issues. </w:t>
            </w:r>
          </w:p>
          <w:p>
            <w:pPr>
              <w:pStyle w:val="Normal"/>
              <w:spacing w:lineRule="auto" w:line="240" w:before="0" w:after="0"/>
              <w:rPr>
                <w:rFonts w:ascii="Arial" w:hAnsi="Arial" w:cs="Arial"/>
              </w:rPr>
            </w:pPr>
            <w:r>
              <w:rPr>
                <w:rFonts w:cs="Arial" w:ascii="Arial" w:hAnsi="Arial"/>
              </w:rPr>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32" w:type="dxa"/>
            <w:gridSpan w:val="2"/>
            <w:tcBorders/>
            <w:shd w:fill="auto" w:val="clear"/>
          </w:tcPr>
          <w:p>
            <w:pPr>
              <w:pStyle w:val="Normal"/>
              <w:spacing w:lineRule="auto" w:line="240" w:before="0" w:after="0"/>
              <w:rPr>
                <w:rFonts w:ascii="Arial" w:hAnsi="Arial" w:cs="Arial"/>
              </w:rPr>
            </w:pPr>
            <w:r>
              <w:rPr>
                <w:rFonts w:cs="Arial" w:ascii="Arial" w:hAnsi="Arial"/>
              </w:rPr>
              <w:t>To undertake evening time cleaning checks prior to final clean.</w:t>
            </w:r>
          </w:p>
        </w:tc>
      </w:tr>
      <w:tr>
        <w:trPr>
          <w:trHeight w:val="506" w:hRule="atLeast"/>
        </w:trPr>
        <w:tc>
          <w:tcPr>
            <w:tcW w:w="805"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32" w:type="dxa"/>
            <w:gridSpan w:val="2"/>
            <w:tcBorders/>
            <w:shd w:fill="auto" w:val="clear"/>
          </w:tcPr>
          <w:p>
            <w:pPr>
              <w:pStyle w:val="Normal"/>
              <w:spacing w:lineRule="auto" w:line="240" w:before="0" w:after="0"/>
              <w:rPr/>
            </w:pPr>
            <w:r>
              <w:rPr>
                <w:rFonts w:cs="Arial" w:ascii="Arial" w:hAnsi="Arial"/>
              </w:rPr>
              <w:t xml:space="preserve">To deputise for the Markets General Manager in their absence acting as Incident Controller to evacuate the Bolton market site in the event of an emergency. </w:t>
            </w:r>
            <w:r>
              <w:rPr>
                <w:rFonts w:cs="Arial" w:ascii="Arial" w:hAnsi="Arial"/>
                <w:color w:val="000000"/>
              </w:rPr>
              <w:t>Deputising at informal / formal meetings both internal and external to the Council including Elected Member meetings, steering groups and partnership working</w:t>
            </w:r>
          </w:p>
        </w:tc>
      </w:tr>
      <w:tr>
        <w:trPr/>
        <w:tc>
          <w:tcPr>
            <w:tcW w:w="4557"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80" w:type="dxa"/>
            <w:tcBorders/>
            <w:shd w:fill="auto" w:val="clear"/>
          </w:tcPr>
          <w:p>
            <w:pPr>
              <w:pStyle w:val="Normal"/>
              <w:spacing w:lineRule="auto" w:line="240" w:before="0" w:after="0"/>
              <w:rPr>
                <w:rFonts w:ascii="Arial" w:hAnsi="Arial" w:cs="Arial"/>
                <w:b/>
                <w:b/>
              </w:rPr>
            </w:pPr>
            <w:r>
              <w:rPr>
                <w:rFonts w:cs="Arial" w:ascii="Arial" w:hAnsi="Arial"/>
                <w:b/>
              </w:rPr>
              <w:t>February 2020</w:t>
            </w:r>
          </w:p>
        </w:tc>
      </w:tr>
      <w:tr>
        <w:trPr/>
        <w:tc>
          <w:tcPr>
            <w:tcW w:w="4557"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80" w:type="dxa"/>
            <w:tcBorders/>
            <w:shd w:fill="auto" w:val="clear"/>
          </w:tcPr>
          <w:p>
            <w:pPr>
              <w:pStyle w:val="Normal"/>
              <w:spacing w:lineRule="auto" w:line="240" w:before="0" w:after="0"/>
              <w:rPr>
                <w:rFonts w:ascii="Arial" w:hAnsi="Arial" w:cs="Arial"/>
                <w:b/>
                <w:b/>
              </w:rPr>
            </w:pPr>
            <w:r>
              <w:rPr>
                <w:rFonts w:cs="Arial" w:ascii="Arial" w:hAnsi="Arial"/>
                <w:b/>
              </w:rPr>
              <w:t>Head of Community Services</w:t>
            </w:r>
          </w:p>
        </w:tc>
      </w:tr>
    </w:tbl>
    <w:p>
      <w:pPr>
        <w:pStyle w:val="Normal"/>
        <w:rPr/>
      </w:pPr>
      <w:r>
        <w:rPr/>
        <w:drawing>
          <wp:anchor behindDoc="0" distT="0" distB="0" distL="0" distR="0" simplePos="0" locked="0" layoutInCell="1" allowOverlap="1" relativeHeight="5">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9718" w:type="dxa"/>
        <w:jc w:val="left"/>
        <w:tblInd w:w="0" w:type="dxa"/>
        <w:tblCellMar>
          <w:top w:w="0" w:type="dxa"/>
          <w:left w:w="108" w:type="dxa"/>
          <w:bottom w:w="0" w:type="dxa"/>
          <w:right w:w="108" w:type="dxa"/>
        </w:tblCellMar>
      </w:tblPr>
      <w:tblGrid>
        <w:gridCol w:w="675"/>
        <w:gridCol w:w="32"/>
        <w:gridCol w:w="676"/>
        <w:gridCol w:w="284"/>
        <w:gridCol w:w="4801"/>
        <w:gridCol w:w="18"/>
        <w:gridCol w:w="3222"/>
        <w:gridCol w:w="10"/>
      </w:tblGrid>
      <w:tr>
        <w:trPr/>
        <w:tc>
          <w:tcPr>
            <w:tcW w:w="1667" w:type="dxa"/>
            <w:gridSpan w:val="4"/>
            <w:tcBorders/>
            <w:shd w:fill="auto" w:val="clear"/>
          </w:tcPr>
          <w:p>
            <w:pPr>
              <w:pStyle w:val="Normal"/>
              <w:spacing w:before="60" w:after="60"/>
              <w:rPr>
                <w:rFonts w:ascii="Arial" w:hAnsi="Arial" w:cs="Arial"/>
                <w:b/>
                <w:b/>
              </w:rPr>
            </w:pPr>
            <w:r>
              <w:rPr>
                <w:rFonts w:cs="Arial" w:ascii="Arial" w:hAnsi="Arial"/>
                <w:b/>
              </w:rPr>
              <w:t>Department</w:t>
            </w:r>
          </w:p>
        </w:tc>
        <w:tc>
          <w:tcPr>
            <w:tcW w:w="8041" w:type="dxa"/>
            <w:gridSpan w:val="3"/>
            <w:tcBorders/>
            <w:shd w:fill="auto" w:val="clear"/>
          </w:tcPr>
          <w:p>
            <w:pPr>
              <w:pStyle w:val="Normal"/>
              <w:spacing w:before="60" w:after="60"/>
              <w:rPr>
                <w:rFonts w:ascii="Arial" w:hAnsi="Arial" w:cs="Arial"/>
                <w:b/>
                <w:b/>
                <w:bCs/>
                <w:caps/>
              </w:rPr>
            </w:pPr>
            <w:r>
              <w:rPr>
                <w:rFonts w:cs="Arial" w:ascii="Arial" w:hAnsi="Arial"/>
                <w:b/>
                <w:bCs/>
                <w:caps/>
              </w:rPr>
              <w:t>Department OF PLACE</w:t>
            </w:r>
          </w:p>
        </w:tc>
      </w:tr>
      <w:tr>
        <w:trPr/>
        <w:tc>
          <w:tcPr>
            <w:tcW w:w="1667" w:type="dxa"/>
            <w:gridSpan w:val="4"/>
            <w:tcBorders/>
            <w:shd w:fill="auto" w:val="clear"/>
          </w:tcPr>
          <w:p>
            <w:pPr>
              <w:pStyle w:val="Normal"/>
              <w:spacing w:before="60" w:after="240"/>
              <w:rPr>
                <w:rFonts w:ascii="Arial" w:hAnsi="Arial" w:cs="Arial"/>
                <w:b/>
                <w:b/>
              </w:rPr>
            </w:pPr>
            <w:r>
              <w:rPr>
                <w:rFonts w:cs="Arial" w:ascii="Arial" w:hAnsi="Arial"/>
                <w:b/>
              </w:rPr>
              <w:t>Job Title</w:t>
            </w:r>
          </w:p>
        </w:tc>
        <w:tc>
          <w:tcPr>
            <w:tcW w:w="8041" w:type="dxa"/>
            <w:gridSpan w:val="3"/>
            <w:tcBorders/>
            <w:shd w:fill="auto" w:val="clear"/>
          </w:tcPr>
          <w:p>
            <w:pPr>
              <w:pStyle w:val="Normal"/>
              <w:spacing w:before="60" w:after="60"/>
              <w:rPr>
                <w:rFonts w:ascii="Arial" w:hAnsi="Arial" w:cs="Arial"/>
                <w:b/>
                <w:b/>
                <w:bCs/>
              </w:rPr>
            </w:pPr>
            <w:r>
              <w:rPr>
                <w:rFonts w:cs="Arial" w:ascii="Arial" w:hAnsi="Arial"/>
                <w:b/>
                <w:bCs/>
              </w:rPr>
              <w:t>Markets Manager (Deputy)</w:t>
            </w:r>
          </w:p>
        </w:tc>
      </w:tr>
      <w:tr>
        <w:trPr/>
        <w:tc>
          <w:tcPr>
            <w:tcW w:w="1383" w:type="dxa"/>
            <w:gridSpan w:val="3"/>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b/>
                <w:b/>
              </w:rPr>
            </w:pPr>
            <w:r>
              <w:rPr>
                <w:rFonts w:cs="Arial" w:ascii="Arial" w:hAnsi="Arial"/>
                <w:b/>
              </w:rPr>
              <w:t>Stage One</w:t>
            </w:r>
          </w:p>
        </w:tc>
        <w:tc>
          <w:tcPr>
            <w:tcW w:w="833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rPr>
            </w:pPr>
            <w:r>
              <w:rPr>
                <w:rFonts w:cs="Arial" w:ascii="Arial" w:hAnsi="Arial"/>
              </w:rPr>
              <w:t>Disabled Candidates are guaranteed an interview if they meet the essential criteria</w:t>
            </w:r>
          </w:p>
        </w:tc>
      </w:tr>
      <w:tr>
        <w:trPr/>
        <w:tc>
          <w:tcPr>
            <w:tcW w:w="6486" w:type="dxa"/>
            <w:gridSpan w:val="6"/>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232"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033" w:type="dxa"/>
            <w:gridSpan w:val="6"/>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communicate effectively orally and in writing with traders, customers and colleagues within the Council and with external bodies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Interview/Assessment Centre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highlight w:val="yellow"/>
              </w:rPr>
            </w:pPr>
            <w:r>
              <w:rPr>
                <w:rFonts w:cs="Arial" w:ascii="Arial" w:hAnsi="Arial"/>
                <w:highlight w:val="yellow"/>
              </w:rPr>
              <w:t>Ability to understand &amp; interpret legal requirements, rules and regulations and procedures in relation to markets including knowledge of trading licences, trading agreements and trading schedules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color w:val="FF0000"/>
              </w:rPr>
            </w:pPr>
            <w:r>
              <w:rPr>
                <w:rFonts w:cs="Arial" w:ascii="Arial" w:hAnsi="Arial"/>
                <w:color w:val="FF0000"/>
              </w:rPr>
              <w:t>Ability to motivate teams to deliver exceptional customer focussed services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Application form/Interview/ Assessment Centre </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5"/>
            <w:tcBorders>
              <w:top w:val="single" w:sz="4" w:space="0" w:color="000000"/>
              <w:bottom w:val="single" w:sz="4" w:space="0" w:color="000000"/>
            </w:tcBorders>
            <w:shd w:fill="auto" w:val="clear"/>
          </w:tcPr>
          <w:p>
            <w:pPr>
              <w:pStyle w:val="Normal"/>
              <w:spacing w:before="120" w:after="120"/>
              <w:ind w:left="0" w:right="175" w:hanging="0"/>
              <w:rPr>
                <w:rFonts w:ascii="Arial" w:hAnsi="Arial" w:cs="Arial"/>
                <w:highlight w:val="yellow"/>
              </w:rPr>
            </w:pPr>
            <w:r>
              <w:rPr>
                <w:rFonts w:cs="Arial" w:ascii="Arial" w:hAnsi="Arial"/>
                <w:highlight w:val="yellow"/>
              </w:rPr>
              <w:t>Ability to use computerised systems and modern media applications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5"/>
            <w:tcBorders>
              <w:top w:val="single" w:sz="4" w:space="0" w:color="000000"/>
              <w:bottom w:val="single" w:sz="4" w:space="0" w:color="000000"/>
            </w:tcBorders>
            <w:shd w:fill="auto" w:val="clear"/>
          </w:tcPr>
          <w:p>
            <w:pPr>
              <w:pStyle w:val="Normal"/>
              <w:spacing w:lineRule="auto" w:line="264" w:before="120" w:after="120"/>
              <w:ind w:left="0" w:right="175" w:hanging="0"/>
              <w:rPr>
                <w:rFonts w:ascii="Arial" w:hAnsi="Arial" w:cs="Arial"/>
              </w:rPr>
            </w:pPr>
            <w:r>
              <w:rPr>
                <w:rFonts w:cs="Arial" w:ascii="Arial" w:hAnsi="Arial"/>
              </w:rPr>
              <w:t>Ability to plan, organise and performance manage themselves and others</w:t>
            </w:r>
          </w:p>
        </w:tc>
        <w:tc>
          <w:tcPr>
            <w:tcW w:w="3222"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 Assessment Centre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5"/>
            <w:tcBorders>
              <w:bottom w:val="single" w:sz="4" w:space="0" w:color="000000"/>
            </w:tcBorders>
            <w:shd w:fill="auto" w:val="clear"/>
          </w:tcPr>
          <w:p>
            <w:pPr>
              <w:pStyle w:val="Normal"/>
              <w:spacing w:lineRule="auto" w:line="264" w:before="120" w:after="120"/>
              <w:ind w:left="0" w:right="175" w:hanging="0"/>
              <w:rPr>
                <w:rFonts w:ascii="Arial" w:hAnsi="Arial" w:cs="Arial"/>
              </w:rPr>
            </w:pPr>
            <w:r>
              <w:rPr>
                <w:rFonts w:cs="Arial" w:ascii="Arial" w:hAnsi="Arial"/>
              </w:rPr>
              <w:t xml:space="preserve">Displays a sense of commercial awareness and an entrepreneurial outlook when dealing with operational problem solving.  </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 Assessment Centre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5"/>
            <w:tcBorders>
              <w:bottom w:val="single" w:sz="4" w:space="0" w:color="000000"/>
            </w:tcBorders>
            <w:shd w:fill="auto" w:val="clear"/>
          </w:tcPr>
          <w:p>
            <w:pPr>
              <w:pStyle w:val="Normal"/>
              <w:spacing w:lineRule="auto" w:line="264" w:before="120" w:after="120"/>
              <w:ind w:left="0" w:right="175" w:hanging="0"/>
              <w:rPr>
                <w:rFonts w:ascii="Arial" w:hAnsi="Arial" w:cs="Arial"/>
              </w:rPr>
            </w:pPr>
            <w:r>
              <w:rPr>
                <w:rFonts w:cs="Arial" w:ascii="Arial" w:hAnsi="Arial"/>
              </w:rPr>
              <w:t>Be able to construct inventive and up to date marketing and promotions solutions for the service in conjunction with partners and traders</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 Assessment Centre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5"/>
            <w:tcBorders>
              <w:bottom w:val="single" w:sz="4" w:space="0" w:color="000000"/>
            </w:tcBorders>
            <w:shd w:fill="auto" w:val="clear"/>
          </w:tcPr>
          <w:p>
            <w:pPr>
              <w:pStyle w:val="Normal"/>
              <w:spacing w:lineRule="auto" w:line="264" w:before="120" w:after="120"/>
              <w:ind w:left="0" w:right="175" w:hanging="0"/>
              <w:jc w:val="both"/>
              <w:rPr>
                <w:rFonts w:ascii="Arial" w:hAnsi="Arial" w:cs="Arial"/>
              </w:rPr>
            </w:pPr>
            <w:r>
              <w:rPr>
                <w:rFonts w:cs="Arial" w:ascii="Arial" w:hAnsi="Arial"/>
              </w:rPr>
              <w:t>Ability to financial manage operational budgets using appropriate systems and procedures</w:t>
            </w:r>
          </w:p>
        </w:tc>
        <w:tc>
          <w:tcPr>
            <w:tcW w:w="3222"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Interview/Assessment Centre</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5"/>
            <w:tcBorders>
              <w:bottom w:val="single" w:sz="4" w:space="0" w:color="000000"/>
            </w:tcBorders>
            <w:shd w:fill="auto" w:val="clear"/>
          </w:tcPr>
          <w:p>
            <w:pPr>
              <w:pStyle w:val="Normal"/>
              <w:spacing w:lineRule="auto" w:line="264" w:before="120" w:after="120"/>
              <w:ind w:left="0" w:right="175" w:hanging="0"/>
              <w:jc w:val="both"/>
              <w:rPr>
                <w:rFonts w:ascii="Arial" w:hAnsi="Arial" w:cs="Arial"/>
              </w:rPr>
            </w:pPr>
            <w:r>
              <w:rPr>
                <w:rFonts w:cs="Arial" w:ascii="Arial" w:hAnsi="Arial"/>
              </w:rPr>
              <w:t>Knowledge of procedures in relation to cash collection, arrears management and debt recovery using manual and computerised systems</w:t>
            </w:r>
          </w:p>
        </w:tc>
        <w:tc>
          <w:tcPr>
            <w:tcW w:w="3222"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5"/>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Knowledge of Pest Control and Food Safety issues and their enforcement in a trading/market environment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5"/>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222"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in a relevant operational service area</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NABMA Diploma in Market Administration or willing to undertake the training as required</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 xml:space="preserve">3. </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Possession of a Security Industry Authority (SIA) licence (or equivalent) would be an advantage. If applicants do not possess a licence and are appointed they will be trained to the relevant standard (allowing a maximum of one re-sit of the examination) and must obtain a licence within three months of their start date. Employment will be terminated should the licence not be obtained within the allotted time frame.</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Level 2 in Food Safety</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971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Able and willing to work evenings, weekends and bank holidays as required for which the appropriate enhancement will be paid.</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7"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61" w:type="dxa"/>
            <w:gridSpan w:val="3"/>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Able and willing to work in operational indoor and outdoor market and event venues on occasion as directed by the Markets General Manager</w:t>
            </w:r>
          </w:p>
        </w:tc>
        <w:tc>
          <w:tcPr>
            <w:tcW w:w="3240" w:type="dxa"/>
            <w:gridSpan w:val="2"/>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bl>
    <w:p>
      <w:pPr>
        <w:pStyle w:val="Normal"/>
        <w:rPr>
          <w:rFonts w:cs="Arial"/>
        </w:rPr>
      </w:pPr>
      <w:r>
        <w:rPr>
          <w:rFonts w:cs="Arial"/>
        </w:rPr>
      </w:r>
    </w:p>
    <w:tbl>
      <w:tblPr>
        <w:tblW w:w="14790" w:type="dxa"/>
        <w:jc w:val="left"/>
        <w:tblInd w:w="0" w:type="dxa"/>
        <w:tblCellMar>
          <w:top w:w="57" w:type="dxa"/>
          <w:left w:w="108" w:type="dxa"/>
          <w:bottom w:w="57" w:type="dxa"/>
          <w:right w:w="108" w:type="dxa"/>
        </w:tblCellMar>
      </w:tblPr>
      <w:tblGrid>
        <w:gridCol w:w="1028"/>
        <w:gridCol w:w="1726"/>
        <w:gridCol w:w="2173"/>
        <w:gridCol w:w="4926"/>
        <w:gridCol w:w="22"/>
        <w:gridCol w:w="4905"/>
        <w:gridCol w:w="10"/>
      </w:tblGrid>
      <w:tr>
        <w:trPr>
          <w:trHeight w:val="653" w:hRule="atLeast"/>
        </w:trPr>
        <w:tc>
          <w:tcPr>
            <w:tcW w:w="2754"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12036"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9875"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4915"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14790"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1028"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8847"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49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14790"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1028"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8847"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49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4927"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4926" w:type="dxa"/>
            <w:tcBorders/>
            <w:shd w:fill="auto" w:val="clear"/>
          </w:tcPr>
          <w:p>
            <w:pPr>
              <w:pStyle w:val="Normal"/>
              <w:spacing w:lineRule="auto" w:line="240" w:before="0" w:after="0"/>
              <w:rPr>
                <w:rFonts w:ascii="Arial" w:hAnsi="Arial" w:cs="Arial"/>
                <w:b/>
                <w:b/>
              </w:rPr>
            </w:pPr>
            <w:r>
              <w:rPr>
                <w:rFonts w:cs="Arial" w:ascii="Arial" w:hAnsi="Arial"/>
                <w:b/>
              </w:rPr>
              <w:t>February 2020</w:t>
            </w:r>
          </w:p>
        </w:tc>
        <w:tc>
          <w:tcPr>
            <w:tcW w:w="4927"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927"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4926" w:type="dxa"/>
            <w:tcBorders/>
            <w:shd w:fill="auto" w:val="clear"/>
          </w:tcPr>
          <w:p>
            <w:pPr>
              <w:pStyle w:val="Normal"/>
              <w:spacing w:lineRule="auto" w:line="240" w:before="0" w:after="0"/>
              <w:rPr>
                <w:rFonts w:ascii="Arial" w:hAnsi="Arial" w:cs="Arial"/>
                <w:b/>
                <w:b/>
              </w:rPr>
            </w:pPr>
            <w:r>
              <w:rPr>
                <w:rFonts w:cs="Arial" w:ascii="Arial" w:hAnsi="Arial"/>
                <w:b/>
              </w:rPr>
              <w:t>Head of Community Services</w:t>
            </w:r>
          </w:p>
        </w:tc>
        <w:tc>
          <w:tcPr>
            <w:tcW w:w="4927"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spacing w:lineRule="auto" w:line="240" w:before="0" w:after="0"/>
        <w:jc w:val="center"/>
        <w:rPr>
          <w:b/>
          <w:b/>
        </w:rPr>
      </w:pPr>
      <w:r>
        <w:rPr>
          <w:b/>
        </w:rPr>
      </w:r>
    </w:p>
    <w:p>
      <w:pPr>
        <w:pStyle w:val="Normal"/>
        <w:jc w:val="center"/>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spacing w:lineRule="auto" w:line="240" w:before="0" w:after="0"/>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sectPr>
      <w:type w:val="nextPage"/>
      <w:pgSz w:w="11906" w:h="16838"/>
      <w:pgMar w:left="1134" w:right="1134" w:header="0" w:top="1361"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lvl>
    <w:lvl w:ilvl="1">
      <w:start w:val="1"/>
      <w:pStyle w:val="Heading2"/>
      <w:numFmt w:val="decimal"/>
      <w:lvlText w:val="%1.%2"/>
      <w:lvlJc w:val="left"/>
      <w:pPr>
        <w:tabs>
          <w:tab w:val="num" w:pos="576"/>
        </w:tabs>
        <w:ind w:left="576" w:hanging="576"/>
      </w:pPr>
      <w:rPr/>
    </w:lvl>
    <w:lvl w:ilvl="2">
      <w:start w:val="1"/>
      <w:pStyle w:val="Heading3"/>
      <w:numFmt w:val="decimal"/>
      <w:lvlText w:val="%1.%2.%3"/>
      <w:lvlJc w:val="left"/>
      <w:pPr>
        <w:tabs>
          <w:tab w:val="num" w:pos="720"/>
        </w:tabs>
        <w:ind w:left="720" w:hanging="720"/>
      </w:pPr>
      <w:rPr/>
    </w:lvl>
    <w:lvl w:ilvl="3">
      <w:start w:val="1"/>
      <w:pStyle w:val="Heading4"/>
      <w:numFmt w:val="decimal"/>
      <w:lvlText w:val="%1.%2.%3.%4"/>
      <w:lvlJc w:val="left"/>
      <w:pPr>
        <w:tabs>
          <w:tab w:val="num" w:pos="864"/>
        </w:tabs>
        <w:ind w:left="864" w:hanging="864"/>
      </w:pPr>
      <w:rPr/>
    </w:lvl>
    <w:lvl w:ilvl="4">
      <w:start w:val="1"/>
      <w:pStyle w:val="Heading5"/>
      <w:numFmt w:val="decimal"/>
      <w:lvlText w:val="%1.%2.%3.%4.%5"/>
      <w:lvlJc w:val="left"/>
      <w:pPr>
        <w:tabs>
          <w:tab w:val="num" w:pos="1008"/>
        </w:tabs>
        <w:ind w:left="1008" w:hanging="1008"/>
      </w:pPr>
      <w:rPr/>
    </w:lvl>
    <w:lvl w:ilvl="5">
      <w:start w:val="1"/>
      <w:pStyle w:val="Heading6"/>
      <w:numFmt w:val="decimal"/>
      <w:lvlText w:val="%1.%2.%3.%4.%5.%6"/>
      <w:lvlJc w:val="left"/>
      <w:pPr>
        <w:tabs>
          <w:tab w:val="num" w:pos="1152"/>
        </w:tabs>
        <w:ind w:left="1152" w:hanging="1152"/>
      </w:pPr>
      <w:rPr/>
    </w:lvl>
    <w:lvl w:ilvl="6">
      <w:start w:val="1"/>
      <w:pStyle w:val="Heading7"/>
      <w:numFmt w:val="decimal"/>
      <w:lvlText w:val="%1.%2.%3.%4.%5.%6.%7"/>
      <w:lvlJc w:val="left"/>
      <w:pPr>
        <w:tabs>
          <w:tab w:val="num" w:pos="1296"/>
        </w:tabs>
        <w:ind w:left="1296" w:hanging="1296"/>
      </w:pPr>
      <w:rPr/>
    </w:lvl>
    <w:lvl w:ilvl="7">
      <w:start w:val="1"/>
      <w:pStyle w:val="Heading8"/>
      <w:numFmt w:val="decimal"/>
      <w:lvlText w:val="%1.%2.%3.%4.%5.%6.%7.%8"/>
      <w:lvlJc w:val="left"/>
      <w:pPr>
        <w:tabs>
          <w:tab w:val="num" w:pos="1440"/>
        </w:tabs>
        <w:ind w:left="1440" w:hanging="1440"/>
      </w:pPr>
      <w:rPr/>
    </w:lvl>
    <w:lvl w:ilvl="8">
      <w:start w:val="1"/>
      <w:pStyle w:val="Heading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numPr>
        <w:ilvl w:val="0"/>
        <w:numId w:val="1"/>
      </w:numPr>
      <w:spacing w:lineRule="auto" w:line="240" w:before="240" w:after="60"/>
      <w:outlineLvl w:val="0"/>
    </w:pPr>
    <w:rPr>
      <w:rFonts w:ascii="Arial" w:hAnsi="Arial" w:eastAsia="Times New Roman" w:cs="Times New Roman"/>
      <w:b/>
      <w:bCs/>
      <w:kern w:val="2"/>
      <w:sz w:val="32"/>
      <w:szCs w:val="32"/>
      <w:lang w:val="en-US" w:eastAsia="en-US"/>
    </w:rPr>
  </w:style>
  <w:style w:type="paragraph" w:styleId="Heading2">
    <w:name w:val="Heading 2"/>
    <w:basedOn w:val="Normal"/>
    <w:next w:val="Normal"/>
    <w:qFormat/>
    <w:pPr>
      <w:keepNext w:val="true"/>
      <w:numPr>
        <w:ilvl w:val="1"/>
        <w:numId w:val="1"/>
      </w:numPr>
      <w:spacing w:lineRule="auto" w:line="240" w:before="240" w:after="60"/>
      <w:outlineLvl w:val="1"/>
    </w:pPr>
    <w:rPr>
      <w:rFonts w:ascii="Arial" w:hAnsi="Arial" w:eastAsia="Times New Roman" w:cs="Times New Roman"/>
      <w:b/>
      <w:bCs/>
      <w:i/>
      <w:iCs/>
      <w:sz w:val="28"/>
      <w:szCs w:val="28"/>
      <w:lang w:val="en-US" w:eastAsia="en-US"/>
    </w:rPr>
  </w:style>
  <w:style w:type="paragraph" w:styleId="Heading3">
    <w:name w:val="Heading 3"/>
    <w:basedOn w:val="Normal"/>
    <w:next w:val="Normal"/>
    <w:qFormat/>
    <w:pPr>
      <w:keepNext w:val="true"/>
      <w:numPr>
        <w:ilvl w:val="2"/>
        <w:numId w:val="1"/>
      </w:numPr>
      <w:spacing w:lineRule="auto" w:line="240" w:before="240" w:after="60"/>
      <w:outlineLvl w:val="2"/>
    </w:pPr>
    <w:rPr>
      <w:rFonts w:ascii="Arial" w:hAnsi="Arial" w:eastAsia="Times New Roman" w:cs="Times New Roman"/>
      <w:b/>
      <w:bCs/>
      <w:sz w:val="26"/>
      <w:szCs w:val="26"/>
      <w:lang w:val="en-US" w:eastAsia="en-US"/>
    </w:rPr>
  </w:style>
  <w:style w:type="paragraph" w:styleId="Heading4">
    <w:name w:val="Heading 4"/>
    <w:basedOn w:val="Normal"/>
    <w:next w:val="Normal"/>
    <w:qFormat/>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n-US" w:eastAsia="en-US"/>
    </w:rPr>
  </w:style>
  <w:style w:type="paragraph" w:styleId="Heading5">
    <w:name w:val="Heading 5"/>
    <w:basedOn w:val="Normal"/>
    <w:next w:val="Normal"/>
    <w:qFormat/>
    <w:pPr>
      <w:numPr>
        <w:ilvl w:val="4"/>
        <w:numId w:val="1"/>
      </w:numPr>
      <w:spacing w:lineRule="auto" w:line="240" w:before="240" w:after="60"/>
      <w:outlineLvl w:val="4"/>
    </w:pPr>
    <w:rPr>
      <w:rFonts w:ascii="Times New Roman" w:hAnsi="Times New Roman" w:eastAsia="Times New Roman" w:cs="Times New Roman"/>
      <w:b/>
      <w:bCs/>
      <w:i/>
      <w:iCs/>
      <w:sz w:val="26"/>
      <w:szCs w:val="26"/>
      <w:lang w:val="en-US" w:eastAsia="en-US"/>
    </w:rPr>
  </w:style>
  <w:style w:type="paragraph" w:styleId="Heading6">
    <w:name w:val="Heading 6"/>
    <w:basedOn w:val="Normal"/>
    <w:next w:val="Normal"/>
    <w:qFormat/>
    <w:pPr>
      <w:numPr>
        <w:ilvl w:val="5"/>
        <w:numId w:val="1"/>
      </w:numPr>
      <w:spacing w:lineRule="auto" w:line="240" w:before="240" w:after="60"/>
      <w:outlineLvl w:val="5"/>
    </w:pPr>
    <w:rPr>
      <w:rFonts w:ascii="Times New Roman" w:hAnsi="Times New Roman" w:eastAsia="Times New Roman" w:cs="Times New Roman"/>
      <w:b/>
      <w:bCs/>
      <w:sz w:val="20"/>
      <w:szCs w:val="20"/>
      <w:lang w:val="en-US" w:eastAsia="en-US"/>
    </w:rPr>
  </w:style>
  <w:style w:type="paragraph" w:styleId="Heading7">
    <w:name w:val="Heading 7"/>
    <w:basedOn w:val="Normal"/>
    <w:next w:val="Normal"/>
    <w:qFormat/>
    <w:pPr>
      <w:numPr>
        <w:ilvl w:val="6"/>
        <w:numId w:val="1"/>
      </w:numPr>
      <w:spacing w:lineRule="auto" w:line="240" w:before="240" w:after="60"/>
      <w:outlineLvl w:val="6"/>
    </w:pPr>
    <w:rPr>
      <w:rFonts w:ascii="Times New Roman" w:hAnsi="Times New Roman" w:eastAsia="Times New Roman" w:cs="Times New Roman"/>
      <w:sz w:val="24"/>
      <w:szCs w:val="24"/>
      <w:lang w:val="en-US" w:eastAsia="en-US"/>
    </w:rPr>
  </w:style>
  <w:style w:type="paragraph" w:styleId="Heading8">
    <w:name w:val="Heading 8"/>
    <w:basedOn w:val="Normal"/>
    <w:next w:val="Normal"/>
    <w:qFormat/>
    <w:pPr>
      <w:numPr>
        <w:ilvl w:val="7"/>
        <w:numId w:val="1"/>
      </w:numPr>
      <w:spacing w:lineRule="auto" w:line="240" w:before="240" w:after="60"/>
      <w:outlineLvl w:val="7"/>
    </w:pPr>
    <w:rPr>
      <w:rFonts w:ascii="Times New Roman" w:hAnsi="Times New Roman" w:eastAsia="Times New Roman" w:cs="Times New Roman"/>
      <w:i/>
      <w:iCs/>
      <w:sz w:val="24"/>
      <w:szCs w:val="24"/>
      <w:lang w:val="en-US" w:eastAsia="en-US"/>
    </w:rPr>
  </w:style>
  <w:style w:type="paragraph" w:styleId="Heading9">
    <w:name w:val="Heading 9"/>
    <w:basedOn w:val="Normal"/>
    <w:next w:val="Normal"/>
    <w:qFormat/>
    <w:pPr>
      <w:numPr>
        <w:ilvl w:val="8"/>
        <w:numId w:val="1"/>
      </w:numPr>
      <w:spacing w:lineRule="auto" w:line="240" w:before="240" w:after="60"/>
      <w:outlineLvl w:val="8"/>
    </w:pPr>
    <w:rPr>
      <w:rFonts w:ascii="Arial" w:hAnsi="Arial" w:eastAsia="Times New Roman" w:cs="Times New Roman"/>
      <w:sz w:val="20"/>
      <w:szCs w:val="20"/>
      <w:lang w:val="en-US" w:eastAsia="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Times New Roman" w:cs="Times New Roman"/>
      <w:b/>
      <w:bCs/>
      <w:kern w:val="2"/>
      <w:sz w:val="32"/>
      <w:szCs w:val="32"/>
      <w:lang w:val="en-US" w:eastAsia="en-US"/>
    </w:rPr>
  </w:style>
  <w:style w:type="character" w:styleId="Heading2Char">
    <w:name w:val="Heading 2 Char"/>
    <w:basedOn w:val="DefaultParagraphFont"/>
    <w:qFormat/>
    <w:rPr>
      <w:rFonts w:ascii="Arial" w:hAnsi="Arial" w:eastAsia="Times New Roman" w:cs="Times New Roman"/>
      <w:b/>
      <w:bCs/>
      <w:i/>
      <w:iCs/>
      <w:sz w:val="28"/>
      <w:szCs w:val="28"/>
      <w:lang w:val="en-US" w:eastAsia="en-US"/>
    </w:rPr>
  </w:style>
  <w:style w:type="character" w:styleId="Heading3Char">
    <w:name w:val="Heading 3 Char"/>
    <w:basedOn w:val="DefaultParagraphFont"/>
    <w:qFormat/>
    <w:rPr>
      <w:rFonts w:ascii="Arial" w:hAnsi="Arial" w:eastAsia="Times New Roman" w:cs="Times New Roman"/>
      <w:b/>
      <w:bCs/>
      <w:sz w:val="26"/>
      <w:szCs w:val="26"/>
      <w:lang w:val="en-US" w:eastAsia="en-US"/>
    </w:rPr>
  </w:style>
  <w:style w:type="character" w:styleId="Heading4Char">
    <w:name w:val="Heading 4 Char"/>
    <w:basedOn w:val="DefaultParagraphFont"/>
    <w:qFormat/>
    <w:rPr>
      <w:rFonts w:ascii="Times New Roman" w:hAnsi="Times New Roman" w:eastAsia="Times New Roman" w:cs="Times New Roman"/>
      <w:b/>
      <w:bCs/>
      <w:sz w:val="28"/>
      <w:szCs w:val="28"/>
      <w:lang w:val="en-US" w:eastAsia="en-US"/>
    </w:rPr>
  </w:style>
  <w:style w:type="character" w:styleId="Heading5Char">
    <w:name w:val="Heading 5 Char"/>
    <w:basedOn w:val="DefaultParagraphFont"/>
    <w:qFormat/>
    <w:rPr>
      <w:rFonts w:ascii="Times New Roman" w:hAnsi="Times New Roman" w:eastAsia="Times New Roman" w:cs="Times New Roman"/>
      <w:b/>
      <w:bCs/>
      <w:i/>
      <w:iCs/>
      <w:sz w:val="26"/>
      <w:szCs w:val="26"/>
      <w:lang w:val="en-US" w:eastAsia="en-US"/>
    </w:rPr>
  </w:style>
  <w:style w:type="character" w:styleId="Heading6Char">
    <w:name w:val="Heading 6 Char"/>
    <w:basedOn w:val="DefaultParagraphFont"/>
    <w:qFormat/>
    <w:rPr>
      <w:rFonts w:ascii="Times New Roman" w:hAnsi="Times New Roman" w:eastAsia="Times New Roman" w:cs="Times New Roman"/>
      <w:b/>
      <w:bCs/>
      <w:sz w:val="20"/>
      <w:szCs w:val="20"/>
      <w:lang w:val="en-US" w:eastAsia="en-US"/>
    </w:rPr>
  </w:style>
  <w:style w:type="character" w:styleId="Heading7Char">
    <w:name w:val="Heading 7 Char"/>
    <w:basedOn w:val="DefaultParagraphFont"/>
    <w:qFormat/>
    <w:rPr>
      <w:rFonts w:ascii="Times New Roman" w:hAnsi="Times New Roman" w:eastAsia="Times New Roman" w:cs="Times New Roman"/>
      <w:sz w:val="24"/>
      <w:szCs w:val="24"/>
      <w:lang w:val="en-US" w:eastAsia="en-US"/>
    </w:rPr>
  </w:style>
  <w:style w:type="character" w:styleId="Heading8Char">
    <w:name w:val="Heading 8 Char"/>
    <w:basedOn w:val="DefaultParagraphFont"/>
    <w:qFormat/>
    <w:rPr>
      <w:rFonts w:ascii="Times New Roman" w:hAnsi="Times New Roman" w:eastAsia="Times New Roman" w:cs="Times New Roman"/>
      <w:i/>
      <w:iCs/>
      <w:sz w:val="24"/>
      <w:szCs w:val="24"/>
      <w:lang w:val="en-US" w:eastAsia="en-US"/>
    </w:rPr>
  </w:style>
  <w:style w:type="character" w:styleId="Heading9Char">
    <w:name w:val="Heading 9 Char"/>
    <w:basedOn w:val="DefaultParagraphFont"/>
    <w:qFormat/>
    <w:rPr>
      <w:rFonts w:ascii="Arial" w:hAnsi="Arial" w:eastAsia="Times New Roman" w:cs="Times New Roman"/>
      <w:sz w:val="20"/>
      <w:szCs w:val="20"/>
      <w:lang w:val="en-US"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2026-06-10T09:30:00Z</dcterms:created>
  <dc:creator>Longworth, Dawn (Deputy HR Manager)</dc:creator>
  <dc:description/>
  <dc:language>en-US</dc:language>
  <cp:lastModifiedBy>Tobin, Saskia</cp:lastModifiedBy>
  <cp:lastPrinted>1995-11-21T17:41:00Z</cp:lastPrinted>
  <dcterms:modified xsi:type="dcterms:W3CDTF">2026-07-01T12:57:00Z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