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jpeg" ContentType="image/jpeg"/>
  <Override PartName="/word/media/image6.png" ContentType="image/png"/>
  <Override PartName="/word/media/image7.png" ContentType="image/png"/>
  <Override PartName="/word/media/image9.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8">
            <wp:simplePos x="0" y="0"/>
            <wp:positionH relativeFrom="column">
              <wp:posOffset>4394835</wp:posOffset>
            </wp:positionH>
            <wp:positionV relativeFrom="paragraph">
              <wp:posOffset>-513080</wp:posOffset>
            </wp:positionV>
            <wp:extent cx="1904365" cy="837565"/>
            <wp:effectExtent l="0" t="0" r="0" b="0"/>
            <wp:wrapNone/>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935" simplePos="0" locked="0" layoutInCell="1" allowOverlap="1" relativeHeight="9">
                <wp:simplePos x="0" y="0"/>
                <wp:positionH relativeFrom="column">
                  <wp:posOffset>-302895</wp:posOffset>
                </wp:positionH>
                <wp:positionV relativeFrom="paragraph">
                  <wp:posOffset>21590</wp:posOffset>
                </wp:positionV>
                <wp:extent cx="2828290" cy="648970"/>
                <wp:effectExtent l="0" t="0"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23.85pt;margin-top:1.7pt;width:222.6pt;height:51pt">
                <w10:wrap type="none"/>
                <v:fill o:detectmouseclick="t" type="solid" color2="black"/>
                <v:stroke color="#3465a4" joinstyle="round" endcap="flat"/>
              </v:rect>
            </w:pict>
          </mc:Fallback>
        </mc:AlternateContent>
      </w:r>
      <w:r>
        <mc:AlternateContent>
          <mc:Choice Requires="wps">
            <w:drawing>
              <wp:anchor behindDoc="0" distT="72390" distB="72390" distL="0" distR="0" simplePos="0" locked="0" layoutInCell="1" allowOverlap="1" relativeHeight="11">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665730" cy="50927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665730" cy="509270"/>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v:textbox>
              </v:rect>
            </w:pict>
          </mc:Fallback>
        </mc:AlternateContent>
      </w:r>
    </w:p>
    <w:p>
      <w:pPr>
        <w:pStyle w:val="Normal"/>
        <w:rPr/>
      </w:pPr>
      <w:r>
        <w:rPr>
          <w:rFonts w:eastAsia="Calibri" w:cs="Calibri"/>
        </w:rPr>
        <w:t xml:space="preserve">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Children’s Services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 xml:space="preserve">Post-16 Lead  (Participation &amp; Pathways) </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Grade G</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TextBody"/>
              <w:spacing w:lineRule="auto" w:line="240" w:before="0" w:after="0"/>
              <w:rPr>
                <w:sz w:val="22"/>
                <w:szCs w:val="22"/>
              </w:rPr>
            </w:pPr>
            <w:r>
              <w:rPr>
                <w:sz w:val="22"/>
                <w:szCs w:val="22"/>
              </w:rPr>
              <w:t xml:space="preserve">The post-holder will be responsible for the post-16 looked after cohort ensuring each young person has a scheduled termly PEP meetings and ensuring the personal education plan is a robust, living and working document. </w:t>
            </w:r>
          </w:p>
          <w:p>
            <w:pPr>
              <w:pStyle w:val="TextBody"/>
              <w:spacing w:lineRule="auto" w:line="240" w:before="0" w:after="0"/>
              <w:rPr>
                <w:sz w:val="22"/>
                <w:szCs w:val="22"/>
              </w:rPr>
            </w:pPr>
            <w:r>
              <w:rPr>
                <w:sz w:val="22"/>
                <w:szCs w:val="22"/>
              </w:rPr>
            </w:r>
          </w:p>
          <w:p>
            <w:pPr>
              <w:pStyle w:val="TextBody"/>
              <w:spacing w:lineRule="auto" w:line="240" w:before="0" w:after="120"/>
              <w:rPr>
                <w:sz w:val="22"/>
                <w:szCs w:val="22"/>
              </w:rPr>
            </w:pPr>
            <w:r>
              <w:rPr>
                <w:sz w:val="22"/>
                <w:szCs w:val="22"/>
              </w:rPr>
              <w:t xml:space="preserve">The post will raise the attainment and attendance of post-16 looked after children working along-side further and higher education settings, social care and other professionals ensuring we have high aspirations for all our young people and preparing them for adulthood. </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12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120" w:after="0"/>
              <w:rPr>
                <w:rFonts w:ascii="Arial" w:hAnsi="Arial" w:cs="Arial"/>
              </w:rPr>
            </w:pPr>
            <w:r>
              <w:rPr>
                <w:rFonts w:cs="Arial" w:ascii="Arial" w:hAnsi="Arial"/>
              </w:rPr>
              <w:t xml:space="preserve">Deputy Virtual School Head / Virtual School Head  </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8829"/>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tcBorders/>
            <w:shd w:fill="auto" w:val="clear"/>
          </w:tcPr>
          <w:p>
            <w:pPr>
              <w:pStyle w:val="Endnote"/>
              <w:tabs>
                <w:tab w:val="clear" w:pos="720"/>
                <w:tab w:val="left" w:pos="1486" w:leader="none"/>
              </w:tabs>
              <w:spacing w:lineRule="auto" w:line="240" w:before="0" w:after="0"/>
              <w:jc w:val="both"/>
              <w:rPr>
                <w:rFonts w:ascii="Arial" w:hAnsi="Arial" w:cs="Arial"/>
                <w:sz w:val="22"/>
                <w:szCs w:val="22"/>
              </w:rPr>
            </w:pPr>
            <w:r>
              <w:rPr>
                <w:rFonts w:cs="Arial" w:ascii="Arial" w:hAnsi="Arial"/>
                <w:sz w:val="22"/>
                <w:szCs w:val="22"/>
              </w:rPr>
              <w:t>To work alongside the Virtual School Head and Deputy Virtual School Head to create, develop and manage efficient and effective system of central record keeping relating to the post – 16 Personal Education Plan (PEP) and review process.</w:t>
            </w:r>
          </w:p>
          <w:p>
            <w:pPr>
              <w:pStyle w:val="Normal"/>
              <w:spacing w:lineRule="auto" w:line="240" w:before="0" w:after="0"/>
              <w:jc w:val="both"/>
              <w:rPr>
                <w:rFonts w:ascii="Arial" w:hAnsi="Arial" w:cs="Arial"/>
                <w:b/>
                <w:b/>
              </w:rPr>
            </w:pPr>
            <w:r>
              <w:rPr>
                <w:rFonts w:cs="Arial" w:ascii="Arial" w:hAnsi="Arial"/>
                <w: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 xml:space="preserve">2 </w:t>
            </w:r>
          </w:p>
        </w:tc>
        <w:tc>
          <w:tcPr>
            <w:tcW w:w="8829" w:type="dxa"/>
            <w:tcBorders/>
            <w:shd w:fill="auto" w:val="clear"/>
          </w:tcPr>
          <w:p>
            <w:pPr>
              <w:pStyle w:val="Normal"/>
              <w:spacing w:lineRule="auto" w:line="240" w:before="0" w:after="0"/>
              <w:rPr>
                <w:rFonts w:ascii="Arial" w:hAnsi="Arial" w:cs="Arial"/>
              </w:rPr>
            </w:pPr>
            <w:r>
              <w:rPr>
                <w:rFonts w:cs="Arial" w:ascii="Arial" w:hAnsi="Arial"/>
              </w:rPr>
              <w:t>To oversee the post-16 cohort of looked after children ensuring that their PEP meetings are scheduled and completed within statutory timescales, maintaining an up to date database of such information.</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tcBorders/>
            <w:shd w:fill="auto" w:val="clear"/>
          </w:tcPr>
          <w:p>
            <w:pPr>
              <w:pStyle w:val="Normal"/>
              <w:spacing w:lineRule="auto" w:line="240" w:before="0" w:after="0"/>
              <w:rPr>
                <w:rFonts w:ascii="Arial" w:hAnsi="Arial" w:cs="Arial"/>
              </w:rPr>
            </w:pPr>
            <w:r>
              <w:rPr>
                <w:rFonts w:cs="Arial" w:ascii="Arial" w:hAnsi="Arial"/>
              </w:rPr>
              <w:t>To act as independent chair of PEP meetings where there are concerns with a child’s education and to support professionals involved.</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tcBorders/>
            <w:shd w:fill="auto" w:val="clear"/>
          </w:tcPr>
          <w:p>
            <w:pPr>
              <w:pStyle w:val="Normal"/>
              <w:spacing w:lineRule="auto" w:line="240" w:before="0" w:after="0"/>
              <w:rPr>
                <w:rFonts w:ascii="Arial" w:hAnsi="Arial" w:cs="Arial"/>
              </w:rPr>
            </w:pPr>
            <w:r>
              <w:rPr>
                <w:rFonts w:cs="Arial" w:ascii="Arial" w:hAnsi="Arial"/>
              </w:rPr>
              <w:t xml:space="preserve">To have a good knowledge of further and higher education, able to advise settings and other professionals on funding available such as the post-16 bursary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tcBorders/>
            <w:shd w:fill="auto" w:val="clear"/>
          </w:tcPr>
          <w:p>
            <w:pPr>
              <w:pStyle w:val="Endnote"/>
              <w:tabs>
                <w:tab w:val="clear" w:pos="720"/>
                <w:tab w:val="left" w:pos="1486" w:leader="none"/>
              </w:tabs>
              <w:spacing w:lineRule="auto" w:line="240" w:before="0" w:after="0"/>
              <w:jc w:val="both"/>
              <w:rPr>
                <w:rFonts w:ascii="Arial" w:hAnsi="Arial" w:cs="Arial"/>
                <w:sz w:val="22"/>
                <w:szCs w:val="22"/>
              </w:rPr>
            </w:pPr>
            <w:r>
              <w:rPr>
                <w:rFonts w:cs="Arial" w:ascii="Arial" w:hAnsi="Arial"/>
                <w:sz w:val="22"/>
                <w:szCs w:val="22"/>
              </w:rPr>
              <w:t>To be a key point of contact for queries around PEPs and work with colleges, social workers and carers to ensure effective targeted use and dealing with any differences of opinion are so they are resolved satisfactorily.</w:t>
            </w:r>
          </w:p>
          <w:p>
            <w:pPr>
              <w:pStyle w:val="Normal"/>
              <w:spacing w:lineRule="auto" w:line="240" w:before="120" w:after="0"/>
              <w:jc w:val="both"/>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tcBorders/>
            <w:shd w:fill="auto" w:val="clear"/>
          </w:tcPr>
          <w:p>
            <w:pPr>
              <w:pStyle w:val="Endnote"/>
              <w:tabs>
                <w:tab w:val="clear" w:pos="720"/>
                <w:tab w:val="left" w:pos="1486" w:leader="none"/>
              </w:tabs>
              <w:spacing w:lineRule="auto" w:line="240" w:before="0" w:after="0"/>
              <w:jc w:val="both"/>
              <w:rPr>
                <w:rFonts w:ascii="Arial" w:hAnsi="Arial" w:cs="Arial"/>
                <w:sz w:val="22"/>
                <w:szCs w:val="22"/>
              </w:rPr>
            </w:pPr>
            <w:r>
              <w:rPr>
                <w:rFonts w:cs="Arial" w:ascii="Arial" w:hAnsi="Arial"/>
                <w:sz w:val="22"/>
                <w:szCs w:val="22"/>
              </w:rPr>
              <w:t>To contribute to training and development activities for Designated Teachers, Social Workers, Carers and other groups and individuals.</w:t>
            </w:r>
          </w:p>
          <w:p>
            <w:pPr>
              <w:pStyle w:val="Normal"/>
              <w:spacing w:lineRule="auto" w:line="240" w:before="0" w:after="0"/>
              <w:jc w:val="both"/>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tcBorders/>
            <w:shd w:fill="auto" w:val="clear"/>
          </w:tcPr>
          <w:p>
            <w:pPr>
              <w:pStyle w:val="Normal"/>
              <w:spacing w:lineRule="auto" w:line="240" w:before="0" w:after="0"/>
              <w:rPr>
                <w:rFonts w:ascii="Arial" w:hAnsi="Arial" w:cs="Arial"/>
              </w:rPr>
            </w:pPr>
            <w:r>
              <w:rPr>
                <w:rFonts w:cs="Arial" w:ascii="Arial" w:hAnsi="Arial"/>
              </w:rPr>
              <w:t xml:space="preserve">To work with the Virtual School team in the planning, organising and delivery of post-16 educational visits.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tcBorders/>
            <w:shd w:fill="auto" w:val="clear"/>
          </w:tcPr>
          <w:p>
            <w:pPr>
              <w:pStyle w:val="Normal"/>
              <w:spacing w:lineRule="auto" w:line="240" w:before="0" w:after="0"/>
              <w:jc w:val="both"/>
              <w:rPr>
                <w:rFonts w:ascii="Arial" w:hAnsi="Arial" w:cs="Arial"/>
              </w:rPr>
            </w:pPr>
            <w:r>
              <w:rPr>
                <w:rFonts w:cs="Arial" w:ascii="Arial" w:hAnsi="Arial"/>
              </w:rPr>
              <w:t>To be involved in the maintenance and development of systems, processes and practices to support the work of the Virtual School</w:t>
            </w:r>
          </w:p>
          <w:p>
            <w:pPr>
              <w:pStyle w:val="Normal"/>
              <w:spacing w:lineRule="auto" w:line="240" w:before="0" w:after="0"/>
              <w:jc w:val="both"/>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29" w:type="dxa"/>
            <w:tcBorders/>
            <w:shd w:fill="auto" w:val="clear"/>
          </w:tcPr>
          <w:p>
            <w:pPr>
              <w:pStyle w:val="Normal"/>
              <w:spacing w:lineRule="auto" w:line="240" w:before="0" w:after="0"/>
              <w:jc w:val="both"/>
              <w:rPr>
                <w:rFonts w:ascii="Arial" w:hAnsi="Arial" w:eastAsia="Calibri" w:cs="Arial"/>
              </w:rPr>
            </w:pPr>
            <w:r>
              <w:rPr>
                <w:rFonts w:eastAsia="Calibri" w:cs="Arial" w:ascii="Arial" w:hAnsi="Arial"/>
              </w:rPr>
              <w:t>To support Further and Higher Education providers and social workers to maintain high aspirations for children in care throughout their educational journey.</w:t>
            </w:r>
          </w:p>
          <w:p>
            <w:pPr>
              <w:pStyle w:val="Normal"/>
              <w:spacing w:lineRule="auto" w:line="240" w:before="0" w:after="0"/>
              <w:jc w:val="both"/>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29" w:type="dxa"/>
            <w:tcBorders/>
            <w:shd w:fill="auto" w:val="clear"/>
          </w:tcPr>
          <w:p>
            <w:pPr>
              <w:pStyle w:val="Endnote"/>
              <w:tabs>
                <w:tab w:val="clear" w:pos="720"/>
                <w:tab w:val="left" w:pos="1486" w:leader="none"/>
              </w:tabs>
              <w:spacing w:lineRule="auto" w:line="240" w:before="0" w:after="0"/>
              <w:jc w:val="both"/>
              <w:rPr>
                <w:rFonts w:ascii="Arial" w:hAnsi="Arial" w:cs="Arial"/>
                <w:sz w:val="22"/>
                <w:szCs w:val="22"/>
              </w:rPr>
            </w:pPr>
            <w:r>
              <w:rPr>
                <w:rFonts w:cs="Arial" w:ascii="Arial" w:hAnsi="Arial"/>
                <w:sz w:val="22"/>
                <w:szCs w:val="22"/>
              </w:rPr>
              <w:t>To attend and participate in supervisions, development and consultation meetings with the Virtual School Head and provide regular updates on the day to day activities of the service area e.g. systems, processes, practices and self- development requirements or opportunities.</w:t>
            </w:r>
          </w:p>
          <w:p>
            <w:pPr>
              <w:pStyle w:val="Normal"/>
              <w:spacing w:lineRule="auto" w:line="240" w:before="0" w:after="0"/>
              <w:rPr>
                <w:rFonts w:ascii="Arial" w:hAnsi="Arial" w:cs="Arial"/>
              </w:rPr>
            </w:pPr>
            <w:r>
              <w:rPr>
                <w:rFonts w:cs="Arial" w:ascii="Arial" w:hAnsi="Arial"/>
              </w:rPr>
            </w:r>
          </w:p>
        </w:tc>
      </w:tr>
    </w:tbl>
    <w:p>
      <w:pPr>
        <w:pStyle w:val="Normal"/>
        <w:rPr/>
      </w:pPr>
      <w:r>
        <w:rPr/>
      </w:r>
    </w:p>
    <w:tbl>
      <w:tblPr>
        <w:tblW w:w="9637" w:type="dxa"/>
        <w:jc w:val="left"/>
        <w:tblInd w:w="0" w:type="dxa"/>
        <w:tblCellMar>
          <w:top w:w="57" w:type="dxa"/>
          <w:left w:w="108" w:type="dxa"/>
          <w:bottom w:w="57" w:type="dxa"/>
          <w:right w:w="108" w:type="dxa"/>
        </w:tblCellMar>
      </w:tblPr>
      <w:tblGrid>
        <w:gridCol w:w="4572"/>
        <w:gridCol w:w="5065"/>
      </w:tblGrid>
      <w:tr>
        <w:trPr/>
        <w:tc>
          <w:tcPr>
            <w:tcW w:w="4572" w:type="dxa"/>
            <w:tcBorders/>
            <w:shd w:fill="auto" w:val="clear"/>
          </w:tcPr>
          <w:p>
            <w:pPr>
              <w:pStyle w:val="Normal"/>
              <w:spacing w:lineRule="auto" w:line="240" w:before="0" w:after="0"/>
              <w:rPr>
                <w:rFonts w:ascii="Arial" w:hAnsi="Arial" w:cs="Arial"/>
                <w:b/>
                <w:b/>
              </w:rPr>
            </w:pPr>
            <w:r>
              <w:rPr>
                <w:rFonts w:cs="Arial" w:ascii="Arial" w:hAnsi="Arial"/>
                <w:b/>
              </w:rPr>
              <w:t xml:space="preserve">Date Job Description prepared/updated: </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 xml:space="preserve">07/09/2026 </w:t>
            </w:r>
          </w:p>
        </w:tc>
      </w:tr>
      <w:tr>
        <w:trPr/>
        <w:tc>
          <w:tcPr>
            <w:tcW w:w="4572" w:type="dxa"/>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Lindsay Nelson</w:t>
            </w:r>
          </w:p>
        </w:tc>
      </w:tr>
    </w:tbl>
    <w:p>
      <w:pPr>
        <w:pStyle w:val="Normal"/>
        <w:rPr/>
      </w:pPr>
      <w:r>
        <w:rPr/>
      </w:r>
    </w:p>
    <w:p>
      <w:pPr>
        <w:pStyle w:val="Normal"/>
        <w:spacing w:lineRule="auto" w:line="256" w:before="0" w:after="160"/>
        <w:rPr/>
      </w:pPr>
      <w:r>
        <w:rPr/>
      </w:r>
      <w:r>
        <w:br w:type="page"/>
      </w:r>
    </w:p>
    <w:p>
      <w:pPr>
        <w:pStyle w:val="Normal"/>
        <w:rPr/>
      </w:pPr>
      <w:r>
        <w:rPr/>
      </w:r>
    </w:p>
    <w:p>
      <w:pPr>
        <w:pStyle w:val="Normal"/>
        <w:rPr/>
      </w:pPr>
      <w:r>
        <w:rPr/>
        <w:drawing>
          <wp:anchor behindDoc="0" distT="0" distB="0" distL="0" distR="0" simplePos="0" locked="0" layoutInCell="1" allowOverlap="1" relativeHeight="10">
            <wp:simplePos x="0" y="0"/>
            <wp:positionH relativeFrom="column">
              <wp:posOffset>4547235</wp:posOffset>
            </wp:positionH>
            <wp:positionV relativeFrom="paragraph">
              <wp:posOffset>-360680</wp:posOffset>
            </wp:positionV>
            <wp:extent cx="1904365" cy="837565"/>
            <wp:effectExtent l="0" t="0" r="0" b="0"/>
            <wp:wrapNone/>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4"/>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b/>
        </w:rPr>
      </w:pPr>
      <w:r>
        <w:rPr/>
        <w:drawing>
          <wp:inline distT="0" distB="0" distL="0" distR="0">
            <wp:extent cx="3692525" cy="513715"/>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5"/>
                    <a:srcRect l="-12" t="-84" r="-12" b="-84"/>
                    <a:stretch>
                      <a:fillRect/>
                    </a:stretch>
                  </pic:blipFill>
                  <pic:spPr bwMode="auto">
                    <a:xfrm>
                      <a:off x="0" y="0"/>
                      <a:ext cx="3692525" cy="513715"/>
                    </a:xfrm>
                    <a:prstGeom prst="rect">
                      <a:avLst/>
                    </a:prstGeom>
                  </pic:spPr>
                </pic:pic>
              </a:graphicData>
            </a:graphic>
          </wp:inline>
        </w:drawing>
      </w:r>
    </w:p>
    <w:tbl>
      <w:tblPr>
        <w:tblW w:w="10075" w:type="dxa"/>
        <w:jc w:val="left"/>
        <w:tblInd w:w="0" w:type="dxa"/>
        <w:tblCellMar>
          <w:top w:w="0" w:type="dxa"/>
          <w:left w:w="108" w:type="dxa"/>
          <w:bottom w:w="0" w:type="dxa"/>
          <w:right w:w="108" w:type="dxa"/>
        </w:tblCellMar>
      </w:tblPr>
      <w:tblGrid>
        <w:gridCol w:w="675"/>
        <w:gridCol w:w="993"/>
        <w:gridCol w:w="4818"/>
        <w:gridCol w:w="3579"/>
        <w:gridCol w:w="10"/>
      </w:tblGrid>
      <w:tr>
        <w:trPr/>
        <w:tc>
          <w:tcPr>
            <w:tcW w:w="1668" w:type="dxa"/>
            <w:gridSpan w:val="2"/>
            <w:tcBorders/>
            <w:shd w:fill="auto" w:val="clear"/>
          </w:tcPr>
          <w:p>
            <w:pPr>
              <w:pStyle w:val="Normal"/>
              <w:spacing w:before="60" w:after="60"/>
              <w:rPr>
                <w:rFonts w:ascii="Arial" w:hAnsi="Arial" w:cs="Arial"/>
                <w:b/>
                <w:b/>
              </w:rPr>
            </w:pPr>
            <w:r>
              <w:rPr>
                <w:rFonts w:cs="Arial" w:ascii="Arial" w:hAnsi="Arial"/>
                <w:b/>
              </w:rPr>
              <w:t>Department</w:t>
            </w:r>
          </w:p>
        </w:tc>
        <w:tc>
          <w:tcPr>
            <w:tcW w:w="8397" w:type="dxa"/>
            <w:gridSpan w:val="2"/>
            <w:tcBorders/>
            <w:shd w:fill="auto" w:val="clear"/>
          </w:tcPr>
          <w:p>
            <w:pPr>
              <w:pStyle w:val="Normal"/>
              <w:spacing w:before="60" w:after="60"/>
              <w:rPr>
                <w:rFonts w:ascii="Arial" w:hAnsi="Arial" w:cs="Arial"/>
                <w:b/>
                <w:b/>
              </w:rPr>
            </w:pPr>
            <w:r>
              <w:rPr>
                <w:rFonts w:cs="Arial" w:ascii="Arial" w:hAnsi="Arial"/>
                <w:b/>
              </w:rPr>
              <w:t>Children’s Services</w:t>
            </w:r>
          </w:p>
        </w:tc>
      </w:tr>
      <w:tr>
        <w:trPr/>
        <w:tc>
          <w:tcPr>
            <w:tcW w:w="1668" w:type="dxa"/>
            <w:gridSpan w:val="2"/>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397" w:type="dxa"/>
            <w:gridSpan w:val="2"/>
            <w:tcBorders>
              <w:bottom w:val="single" w:sz="4" w:space="0" w:color="000000"/>
            </w:tcBorders>
            <w:shd w:fill="auto" w:val="clear"/>
          </w:tcPr>
          <w:p>
            <w:pPr>
              <w:pStyle w:val="Normal"/>
              <w:spacing w:before="60" w:after="60"/>
              <w:rPr>
                <w:rFonts w:ascii="Arial" w:hAnsi="Arial" w:cs="Arial"/>
              </w:rPr>
            </w:pPr>
            <w:r>
              <w:rPr>
                <w:rFonts w:cs="Arial" w:ascii="Arial" w:hAnsi="Arial"/>
              </w:rPr>
              <w:t>Post-16 Lead</w:t>
            </w:r>
          </w:p>
        </w:tc>
      </w:tr>
      <w:tr>
        <w:trPr/>
        <w:tc>
          <w:tcPr>
            <w:tcW w:w="1668" w:type="dxa"/>
            <w:gridSpan w:val="2"/>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40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bCs/>
              </w:rPr>
            </w:pPr>
            <w:r>
              <w:rPr>
                <w:rFonts w:cs="Arial" w:ascii="Arial" w:hAnsi="Arial"/>
                <w:bCs/>
              </w:rPr>
              <w:t>Disabled candidates are guaranteed an interview if they meet the essential criteria</w:t>
            </w:r>
          </w:p>
        </w:tc>
      </w:tr>
      <w:tr>
        <w:trPr/>
        <w:tc>
          <w:tcPr>
            <w:tcW w:w="6486" w:type="dxa"/>
            <w:gridSpan w:val="3"/>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58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b/>
              </w:rPr>
            </w:pPr>
            <w:r>
              <w:rPr>
                <w:rFonts w:cs="Arial" w:ascii="Arial" w:hAnsi="Arial"/>
                <w:b/>
              </w:rPr>
              <w:t>1.</w:t>
            </w:r>
          </w:p>
        </w:tc>
        <w:tc>
          <w:tcPr>
            <w:tcW w:w="9390" w:type="dxa"/>
            <w:gridSpan w:val="3"/>
            <w:tcBorders>
              <w:bottom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811"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An understanding of data, how best to analyse that data &amp; its impact on performance.</w:t>
            </w:r>
          </w:p>
        </w:tc>
        <w:tc>
          <w:tcPr>
            <w:tcW w:w="357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 xml:space="preserve">Application / Interview </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811"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A clear understanding of the local &amp; national agenda for the delivery of high-quality educational provision in relation to further and higher education.  </w:t>
            </w:r>
          </w:p>
        </w:tc>
        <w:tc>
          <w:tcPr>
            <w:tcW w:w="357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 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A clear understanding of Safeguarding, Child Protection &amp; Information Sharing issues. </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 xml:space="preserve">Assessment / Interview  </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 xml:space="preserve">4. </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communicate effectively with a range of people both orally &amp; in writing.</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 xml:space="preserve">Assessment / Interview  </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analyse and evaluate quantitative and qualitative data and report findings clearly and succinctly.</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 xml:space="preserve">Assessment / Interview  </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 xml:space="preserve">6. </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bCs/>
                <w:szCs w:val="24"/>
              </w:rPr>
            </w:pPr>
            <w:r>
              <w:rPr>
                <w:rFonts w:cs="Arial" w:ascii="Arial" w:hAnsi="Arial"/>
                <w:bCs/>
                <w:szCs w:val="24"/>
              </w:rPr>
              <w:t xml:space="preserve">Ensuring termly PEP meetings are scheduled and personal education plans are robust, working and living documents reflecting the academic, social and emotional needs of each Post-16 young person.  </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 xml:space="preserve">Assessment / interview </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7.</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Well organised, self-motivated &amp; show integrity and a high level of professionalism.</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 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8.</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Confident user of IT as a work tool, including the ability to produce presentations and spreadsheets.</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Assessment / 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9.</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Good interpersonal skills including the ability to work effectively / collaboratively with a range of people &amp; agencies.</w:t>
            </w:r>
          </w:p>
        </w:tc>
        <w:tc>
          <w:tcPr>
            <w:tcW w:w="3579" w:type="dxa"/>
            <w:tcBorders>
              <w:bottom w:val="single" w:sz="4" w:space="0" w:color="000000"/>
            </w:tcBorders>
            <w:shd w:fill="auto" w:val="clear"/>
          </w:tcPr>
          <w:p>
            <w:pPr>
              <w:pStyle w:val="Normal"/>
              <w:spacing w:before="120" w:after="120"/>
              <w:rPr/>
            </w:pPr>
            <w:r>
              <w:rPr>
                <w:rFonts w:eastAsia="Arial" w:cs="Arial" w:ascii="Arial" w:hAnsi="Arial"/>
              </w:rPr>
              <w:t xml:space="preserve"> </w:t>
            </w:r>
            <w:r>
              <w:rPr>
                <w:rFonts w:cs="Arial" w:ascii="Arial" w:hAnsi="Arial"/>
              </w:rPr>
              <w:t>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10.</w:t>
            </w:r>
          </w:p>
        </w:tc>
        <w:tc>
          <w:tcPr>
            <w:tcW w:w="5811" w:type="dxa"/>
            <w:gridSpan w:val="2"/>
            <w:tcBorders>
              <w:bottom w:val="single" w:sz="4" w:space="0" w:color="000000"/>
            </w:tcBorders>
            <w:shd w:fill="auto" w:val="clear"/>
          </w:tcPr>
          <w:p>
            <w:pPr>
              <w:pStyle w:val="Normal"/>
              <w:spacing w:before="120" w:after="120"/>
              <w:ind w:left="0" w:right="175" w:hanging="0"/>
              <w:rPr/>
            </w:pPr>
            <w:r>
              <w:rPr>
                <w:rFonts w:cs="Arial" w:ascii="Arial" w:hAnsi="Arial"/>
                <w:b/>
              </w:rPr>
              <w:t>Competencies</w:t>
            </w:r>
            <w:r>
              <w:rPr>
                <w:rFonts w:cs="Arial" w:ascii="Arial" w:hAnsi="Arial"/>
              </w:rPr>
              <w:t xml:space="preserve"> – Please note the council’s corporate competencies, which are considered to be essential for all roles, are in the attached CORE COMPETENCIES document</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bl>
    <w:p>
      <w:pPr>
        <w:pStyle w:val="Normal"/>
        <w:rPr/>
      </w:pPr>
      <w:r>
        <w:rPr/>
      </w:r>
    </w:p>
    <w:tbl>
      <w:tblPr>
        <w:tblW w:w="10070" w:type="dxa"/>
        <w:jc w:val="left"/>
        <w:tblInd w:w="0" w:type="dxa"/>
        <w:tblCellMar>
          <w:top w:w="0" w:type="dxa"/>
          <w:left w:w="108" w:type="dxa"/>
          <w:bottom w:w="0" w:type="dxa"/>
          <w:right w:w="108" w:type="dxa"/>
        </w:tblCellMar>
      </w:tblPr>
      <w:tblGrid>
        <w:gridCol w:w="708"/>
        <w:gridCol w:w="5759"/>
        <w:gridCol w:w="3603"/>
      </w:tblGrid>
      <w:tr>
        <w:trPr>
          <w:cantSplit w:val="true"/>
        </w:trPr>
        <w:tc>
          <w:tcPr>
            <w:tcW w:w="1007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Educated to Degree Level.</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 Proof of Qualification</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 xml:space="preserve">Qualified Teacher Status (QTS) or Qualified Careers Advisor. </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 Proof of Status</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Evidence of Continuing Professional Development (CPD).</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 Interview</w:t>
            </w:r>
          </w:p>
        </w:tc>
      </w:tr>
      <w:tr>
        <w:trPr>
          <w:cantSplit w:val="true"/>
        </w:trPr>
        <w:tc>
          <w:tcPr>
            <w:tcW w:w="1007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3.</w:t>
              <w:tab/>
              <w:t>Work Related Circumstances</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The nature and demands of the post-holder’s time are not always predictable and there will be an expectation that work will be required outside normal hours from time to time.</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 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This post has been designated an essential car user post. Applicants must hold a full, current and valid driving licence and a vehicle with a current valid MOT certificate. There must also be adequate vehicle insurance cover to comply with the council’s requirements, in line with the Travel Costs Reimbursement Policy</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w:t>
            </w:r>
          </w:p>
          <w:p>
            <w:pPr>
              <w:pStyle w:val="Normal"/>
              <w:spacing w:before="120" w:after="120"/>
              <w:rPr>
                <w:rFonts w:ascii="Arial" w:hAnsi="Arial" w:cs="Arial"/>
              </w:rPr>
            </w:pPr>
            <w:r>
              <w:rPr>
                <w:rFonts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 xml:space="preserve">3. </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This post is subject to [an enhanced / a standard] disclosure from the Disclosure &amp; Barring Service</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bl>
    <w:p>
      <w:pPr>
        <w:pStyle w:val="Normal"/>
        <w:spacing w:before="0" w:after="120"/>
        <w:rPr/>
      </w:pPr>
      <w:r>
        <w:rPr/>
      </w:r>
    </w:p>
    <w:tbl>
      <w:tblPr>
        <w:tblW w:w="9638" w:type="dxa"/>
        <w:jc w:val="left"/>
        <w:tblInd w:w="0" w:type="dxa"/>
        <w:tblCellMar>
          <w:top w:w="0" w:type="dxa"/>
          <w:left w:w="108" w:type="dxa"/>
          <w:bottom w:w="0" w:type="dxa"/>
          <w:right w:w="108" w:type="dxa"/>
        </w:tblCellMar>
      </w:tblPr>
      <w:tblGrid>
        <w:gridCol w:w="646"/>
        <w:gridCol w:w="1085"/>
        <w:gridCol w:w="4081"/>
        <w:gridCol w:w="396"/>
        <w:gridCol w:w="3420"/>
        <w:gridCol w:w="10"/>
      </w:tblGrid>
      <w:tr>
        <w:trPr>
          <w:trHeight w:val="653" w:hRule="atLeast"/>
        </w:trPr>
        <w:tc>
          <w:tcPr>
            <w:tcW w:w="1731"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7"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8" w:type="dxa"/>
            <w:gridSpan w:val="4"/>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0"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62"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Devising and implementing effective monitoring systems to evaluate impact.</w:t>
            </w:r>
          </w:p>
        </w:tc>
        <w:tc>
          <w:tcPr>
            <w:tcW w:w="3420"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Assessment / Interview</w:t>
            </w:r>
          </w:p>
        </w:tc>
      </w:tr>
      <w:tr>
        <w:trPr>
          <w:cantSplit w:val="true"/>
        </w:trPr>
        <w:tc>
          <w:tcPr>
            <w:tcW w:w="963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62"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Qualifications in a related specialist field such as careers guidance, inclusion, safeguarding or social care. </w:t>
            </w:r>
          </w:p>
        </w:tc>
        <w:tc>
          <w:tcPr>
            <w:tcW w:w="3420"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 / Proof of qualification</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62"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Designated Teacher within a school or post-16 setting. </w:t>
            </w:r>
          </w:p>
        </w:tc>
        <w:tc>
          <w:tcPr>
            <w:tcW w:w="3420"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w:t>
            </w:r>
          </w:p>
        </w:tc>
      </w:tr>
      <w:tr>
        <w:trPr/>
        <w:tc>
          <w:tcPr>
            <w:tcW w:w="5812" w:type="dxa"/>
            <w:gridSpan w:val="3"/>
            <w:tcBorders/>
            <w:shd w:fill="auto" w:val="clear"/>
          </w:tcPr>
          <w:p>
            <w:pPr>
              <w:pStyle w:val="Normal"/>
              <w:spacing w:lineRule="auto" w:line="240" w:before="0" w:after="0"/>
              <w:rPr>
                <w:rFonts w:ascii="Arial" w:hAnsi="Arial" w:cs="Arial"/>
                <w:b/>
                <w:b/>
              </w:rPr>
            </w:pPr>
            <w:r>
              <w:rPr>
                <w:rFonts w:cs="Arial" w:ascii="Arial" w:hAnsi="Arial"/>
                <w:b/>
              </w:rPr>
              <w:t xml:space="preserve">Date Person Specification prepared/updated </w:t>
            </w:r>
          </w:p>
        </w:tc>
        <w:tc>
          <w:tcPr>
            <w:tcW w:w="3816" w:type="dxa"/>
            <w:gridSpan w:val="2"/>
            <w:tcBorders/>
            <w:shd w:fill="auto" w:val="clear"/>
          </w:tcPr>
          <w:p>
            <w:pPr>
              <w:pStyle w:val="Normal"/>
              <w:spacing w:lineRule="auto" w:line="240" w:before="0" w:after="0"/>
              <w:rPr>
                <w:rFonts w:ascii="Arial" w:hAnsi="Arial" w:cs="Arial"/>
                <w:b/>
                <w:b/>
              </w:rPr>
            </w:pPr>
            <w:r>
              <w:rPr>
                <w:rFonts w:cs="Arial" w:ascii="Arial" w:hAnsi="Arial"/>
                <w:b/>
              </w:rPr>
              <w:t>07/09/2026</w:t>
            </w:r>
          </w:p>
        </w:tc>
      </w:tr>
      <w:tr>
        <w:trPr/>
        <w:tc>
          <w:tcPr>
            <w:tcW w:w="5812" w:type="dxa"/>
            <w:gridSpan w:val="3"/>
            <w:tcBorders/>
            <w:shd w:fill="auto" w:val="clear"/>
          </w:tcPr>
          <w:p>
            <w:pPr>
              <w:pStyle w:val="Normal"/>
              <w:spacing w:lineRule="auto" w:line="240" w:before="0" w:after="0"/>
              <w:rPr>
                <w:rFonts w:ascii="Arial" w:hAnsi="Arial" w:cs="Arial"/>
                <w:b/>
                <w:b/>
              </w:rPr>
            </w:pPr>
            <w:r>
              <w:rPr>
                <w:rFonts w:cs="Arial" w:ascii="Arial" w:hAnsi="Arial"/>
                <w:b/>
              </w:rPr>
              <w:t xml:space="preserve">Person Specification prepared by </w:t>
            </w:r>
          </w:p>
        </w:tc>
        <w:tc>
          <w:tcPr>
            <w:tcW w:w="3816" w:type="dxa"/>
            <w:gridSpan w:val="2"/>
            <w:tcBorders/>
            <w:shd w:fill="auto" w:val="clear"/>
          </w:tcPr>
          <w:p>
            <w:pPr>
              <w:pStyle w:val="Normal"/>
              <w:spacing w:lineRule="auto" w:line="240" w:before="0" w:after="0"/>
              <w:rPr>
                <w:rFonts w:ascii="Arial" w:hAnsi="Arial" w:cs="Arial"/>
                <w:b/>
                <w:b/>
              </w:rPr>
            </w:pPr>
            <w:r>
              <w:rPr>
                <w:rFonts w:cs="Arial" w:ascii="Arial" w:hAnsi="Arial"/>
                <w:b/>
              </w:rPr>
              <w:t>Lindsay Nelson</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6122035" cy="1628140"/>
            <wp:effectExtent l="0" t="0" r="0" b="0"/>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6"/>
                    <a:srcRect l="-4" t="-14" r="-4" b="-14"/>
                    <a:stretch>
                      <a:fillRect/>
                    </a:stretch>
                  </pic:blipFill>
                  <pic:spPr bwMode="auto">
                    <a:xfrm>
                      <a:off x="0" y="0"/>
                      <a:ext cx="6122035" cy="1628140"/>
                    </a:xfrm>
                    <a:prstGeom prst="rect">
                      <a:avLst/>
                    </a:prstGeom>
                  </pic:spPr>
                </pic:pic>
              </a:graphicData>
            </a:graphic>
          </wp:inline>
        </w:drawing>
      </w:r>
    </w:p>
    <w:p>
      <w:pPr>
        <w:pStyle w:val="Normal"/>
        <w:rPr/>
      </w:pPr>
      <w:r>
        <w:rPr/>
        <w:drawing>
          <wp:inline distT="0" distB="0" distL="0" distR="0">
            <wp:extent cx="6118225" cy="1684655"/>
            <wp:effectExtent l="0" t="0" r="0" b="0"/>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7"/>
                    <a:srcRect l="-4" t="-13" r="-4" b="-13"/>
                    <a:stretch>
                      <a:fillRect/>
                    </a:stretch>
                  </pic:blipFill>
                  <pic:spPr bwMode="auto">
                    <a:xfrm>
                      <a:off x="0" y="0"/>
                      <a:ext cx="6118225" cy="1684655"/>
                    </a:xfrm>
                    <a:prstGeom prst="rect">
                      <a:avLst/>
                    </a:prstGeom>
                  </pic:spPr>
                </pic:pic>
              </a:graphicData>
            </a:graphic>
          </wp:inline>
        </w:drawing>
      </w:r>
      <w:r>
        <w:rPr/>
        <w:drawing>
          <wp:inline distT="0" distB="0" distL="0" distR="0">
            <wp:extent cx="6117590" cy="1514475"/>
            <wp:effectExtent l="0" t="0" r="0" b="0"/>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8"/>
                    <a:srcRect l="-4" t="-15" r="-4" b="-15"/>
                    <a:stretch>
                      <a:fillRect/>
                    </a:stretch>
                  </pic:blipFill>
                  <pic:spPr bwMode="auto">
                    <a:xfrm>
                      <a:off x="0" y="0"/>
                      <a:ext cx="6117590" cy="1514475"/>
                    </a:xfrm>
                    <a:prstGeom prst="rect">
                      <a:avLst/>
                    </a:prstGeom>
                  </pic:spPr>
                </pic:pic>
              </a:graphicData>
            </a:graphic>
          </wp:inline>
        </w:drawing>
      </w:r>
      <w:r>
        <w:rPr/>
        <w:drawing>
          <wp:inline distT="0" distB="0" distL="0" distR="0">
            <wp:extent cx="6120130" cy="1304290"/>
            <wp:effectExtent l="0" t="0" r="0" b="0"/>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9"/>
                    <a:srcRect l="-4" t="-15" r="-4" b="-15"/>
                    <a:stretch>
                      <a:fillRect/>
                    </a:stretch>
                  </pic:blipFill>
                  <pic:spPr bwMode="auto">
                    <a:xfrm>
                      <a:off x="0" y="0"/>
                      <a:ext cx="6120130" cy="1304290"/>
                    </a:xfrm>
                    <a:prstGeom prst="rect">
                      <a:avLst/>
                    </a:prstGeom>
                  </pic:spPr>
                </pic:pic>
              </a:graphicData>
            </a:graphic>
          </wp:inline>
        </w:drawing>
      </w:r>
    </w:p>
    <w:p>
      <w:pPr>
        <w:pStyle w:val="Normal"/>
        <w:rPr/>
      </w:pPr>
      <w:r>
        <w:rPr/>
        <w:drawing>
          <wp:inline distT="0" distB="0" distL="0" distR="0">
            <wp:extent cx="6120765" cy="1504950"/>
            <wp:effectExtent l="0" t="0" r="0" b="0"/>
            <wp:docPr id="12"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 descr=""/>
                    <pic:cNvPicPr>
                      <a:picLocks noChangeAspect="1" noChangeArrowheads="1"/>
                    </pic:cNvPicPr>
                  </pic:nvPicPr>
                  <pic:blipFill>
                    <a:blip r:embed="rId10"/>
                    <a:srcRect l="-6" t="-19" r="-6" b="-19"/>
                    <a:stretch>
                      <a:fillRect/>
                    </a:stretch>
                  </pic:blipFill>
                  <pic:spPr bwMode="auto">
                    <a:xfrm>
                      <a:off x="0" y="0"/>
                      <a:ext cx="6120765" cy="1504950"/>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11"/>
      <w:type w:val="nextPage"/>
      <w:pgSz w:w="11906" w:h="16838"/>
      <w:pgMar w:left="1134" w:right="1134" w:header="0"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Palatino">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odyTextChar">
    <w:name w:val="Body Text Char"/>
    <w:basedOn w:val="DefaultParagraphFont"/>
    <w:qFormat/>
    <w:rPr>
      <w:rFonts w:ascii="Arial" w:hAnsi="Arial" w:eastAsia="Times New Roman" w:cs="Arial"/>
      <w:sz w:val="24"/>
      <w:szCs w:val="20"/>
    </w:rPr>
  </w:style>
  <w:style w:type="character" w:styleId="EndnoteTextChar">
    <w:name w:val="Endnote Text Char"/>
    <w:basedOn w:val="DefaultParagraphFont"/>
    <w:qFormat/>
    <w:rPr>
      <w:rFonts w:ascii="Palatino" w:hAnsi="Palatino" w:eastAsia="Times New Roman" w:cs="Times New Roman"/>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40" w:before="0" w:after="0"/>
    </w:pPr>
    <w:rPr>
      <w:rFonts w:ascii="Arial" w:hAnsi="Arial" w:eastAsia="Times New Roman" w:cs="Arial"/>
      <w:sz w:val="24"/>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Endnote">
    <w:name w:val="Endnote Text"/>
    <w:basedOn w:val="Normal"/>
    <w:pPr>
      <w:overflowPunct w:val="true"/>
      <w:spacing w:lineRule="auto" w:line="240" w:before="0" w:after="0"/>
      <w:textAlignment w:val="baseline"/>
    </w:pPr>
    <w:rPr>
      <w:rFonts w:ascii="Palatino" w:hAnsi="Palatino" w:eastAsia="Times New Roman" w:cs="Times New Roman"/>
      <w:sz w:val="24"/>
      <w:szCs w:val="20"/>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