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cs="Calibri"/>
          <w:b/>
          <w:b/>
          <w:bCs/>
          <w:sz w:val="36"/>
          <w:szCs w:val="36"/>
        </w:rPr>
      </w:pPr>
      <w:r>
        <w:rPr>
          <w:rFonts w:cs="Calibri" w:ascii="Calibri" w:hAnsi="Calibri"/>
          <w:b/>
          <w:bCs/>
          <w:sz w:val="36"/>
          <w:szCs w:val="36"/>
        </w:rPr>
        <w:t>Right to Work Checks</w:t>
      </w:r>
    </w:p>
    <w:p>
      <w:pPr>
        <w:pStyle w:val="Default"/>
        <w:jc w:val="center"/>
        <w:rPr>
          <w:rFonts w:ascii="Calibri" w:hAnsi="Calibri" w:cs="Calibri"/>
          <w:b/>
          <w:b/>
          <w:bCs/>
        </w:rPr>
      </w:pPr>
      <w:r>
        <w:rPr>
          <w:rFonts w:cs="Calibri" w:ascii="Calibri" w:hAnsi="Calibri"/>
          <w:b/>
          <w:bCs/>
        </w:rPr>
      </w:r>
    </w:p>
    <w:p>
      <w:pPr>
        <w:pStyle w:val="Default"/>
        <w:jc w:val="center"/>
        <w:rPr/>
      </w:pPr>
      <w:r>
        <w:rPr>
          <w:rFonts w:eastAsia="Calibri" w:cs="Calibri" w:ascii="Calibri" w:hAnsi="Calibri"/>
          <w:b/>
          <w:bCs/>
        </w:rPr>
        <w:t xml:space="preserve"> </w:t>
      </w:r>
      <w:r>
        <w:rPr>
          <w:rFonts w:cs="Calibri" w:ascii="Calibri" w:hAnsi="Calibri"/>
          <w:b/>
          <w:bCs/>
        </w:rPr>
        <w:t>Lists of acceptable documents for manual right to work checks from 1 July 2021.</w:t>
      </w:r>
    </w:p>
    <w:p>
      <w:pPr>
        <w:pStyle w:val="Default"/>
        <w:rPr>
          <w:rFonts w:ascii="Calibri" w:hAnsi="Calibri" w:cs="Calibri"/>
          <w:b/>
          <w:b/>
          <w:bCs/>
        </w:rPr>
      </w:pPr>
      <w:r>
        <w:rPr>
          <w:rFonts w:cs="Calibri" w:ascii="Calibri" w:hAnsi="Calibri"/>
          <w:b/>
          <w:bCs/>
        </w:rPr>
      </w:r>
    </w:p>
    <w:p>
      <w:pPr>
        <w:pStyle w:val="Default"/>
        <w:rPr/>
      </w:pPr>
      <w:r>
        <w:rPr>
          <w:rFonts w:cs="Calibri" w:ascii="Calibri" w:hAnsi="Calibri"/>
          <w:b/>
          <w:bCs/>
        </w:rPr>
        <w:t xml:space="preserve">Extracted from </w:t>
      </w:r>
      <w:r>
        <w:rPr>
          <w:rFonts w:cs="Calibri" w:ascii="Calibri" w:hAnsi="Calibri"/>
          <w:b/>
          <w:bCs/>
          <w:i/>
          <w:iCs/>
        </w:rPr>
        <w:t>An Employers Guide to Right to Work Checks</w:t>
      </w:r>
      <w:r>
        <w:rPr>
          <w:rFonts w:cs="Calibri" w:ascii="Calibri" w:hAnsi="Calibri"/>
        </w:rPr>
        <w:t xml:space="preserve"> </w:t>
      </w:r>
      <w:r>
        <w:rPr>
          <w:rStyle w:val="InternetLink"/>
          <w:rFonts w:cs="Calibri" w:ascii="Calibri" w:hAnsi="Calibri"/>
        </w:rPr>
        <w:t>Right to work checks: an employer's guide - GOV.UK (www.gov.uk)</w:t>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 xml:space="preserve">List A – acceptable documents to establish a continuous statutory excuse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 xml:space="preserve">1. A passport (current or expired) showing the holder, or a person named in the passport as the child of the holder, is a British citizen or a citizen of the UK and Colonies having the right of abode in the UK.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 xml:space="preserve">2. A passport or passport card (current or expired) showing that the holder is a national of the Republic of Ireland. </w:t>
      </w:r>
    </w:p>
    <w:p>
      <w:pPr>
        <w:pStyle w:val="Default"/>
        <w:rPr>
          <w:rFonts w:ascii="Calibri" w:hAnsi="Calibri" w:cs="Calibri"/>
        </w:rPr>
      </w:pPr>
      <w:r>
        <w:rPr>
          <w:rFonts w:cs="Calibri" w:ascii="Calibri" w:hAnsi="Calibri"/>
        </w:rPr>
      </w:r>
    </w:p>
    <w:p>
      <w:pPr>
        <w:pStyle w:val="Default"/>
        <w:spacing w:before="0" w:after="158"/>
        <w:rPr>
          <w:rFonts w:ascii="Calibri" w:hAnsi="Calibri" w:cs="Calibri"/>
        </w:rPr>
      </w:pPr>
      <w:r>
        <w:rPr>
          <w:rFonts w:cs="Calibri" w:ascii="Calibri" w:hAnsi="Calibri"/>
        </w:rPr>
        <w:t xml:space="preserve">3. A current document issued by the Home Office to a family member of an EEA or Swiss citizen, and which indicates that the holder is permitted to stay in the United Kingdom indefinitely. </w:t>
      </w:r>
    </w:p>
    <w:p>
      <w:pPr>
        <w:pStyle w:val="Default"/>
        <w:spacing w:before="0" w:after="158"/>
        <w:rPr>
          <w:rFonts w:ascii="Calibri" w:hAnsi="Calibri" w:cs="Calibri"/>
        </w:rPr>
      </w:pPr>
      <w:r>
        <w:rPr>
          <w:rFonts w:cs="Calibri" w:ascii="Calibri" w:hAnsi="Calibri"/>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pPr>
        <w:pStyle w:val="Default"/>
        <w:spacing w:before="0" w:after="158"/>
        <w:rPr>
          <w:rFonts w:ascii="Calibri" w:hAnsi="Calibri" w:cs="Calibri"/>
        </w:rPr>
      </w:pPr>
      <w:r>
        <w:rPr>
          <w:rFonts w:cs="Calibri" w:ascii="Calibri" w:hAnsi="Calibri"/>
        </w:rPr>
        <w:t xml:space="preserve">5. A current Biometric Immigration Document (Biometric Residence Permit) issued by the Home Office to the holder indicating that the person named is allowed to stay indefinitely in the UK or has no time limit on their stay in the UK. </w:t>
      </w:r>
    </w:p>
    <w:p>
      <w:pPr>
        <w:pStyle w:val="Default"/>
        <w:spacing w:before="0" w:after="158"/>
        <w:rPr>
          <w:rFonts w:ascii="Calibri" w:hAnsi="Calibri" w:cs="Calibri"/>
        </w:rPr>
      </w:pPr>
      <w:r>
        <w:rPr>
          <w:rFonts w:cs="Calibri" w:ascii="Calibri" w:hAnsi="Calibri"/>
        </w:rPr>
        <w:t xml:space="preserve">6. A current passport endorsed to show that the holder is exempt from immigration control, is allowed to stay indefinitely in the UK, has the right of abode in the UK, or has no time limit on their stay in the UK. </w:t>
      </w:r>
    </w:p>
    <w:p>
      <w:pPr>
        <w:pStyle w:val="Default"/>
        <w:spacing w:before="0" w:after="158"/>
        <w:rPr/>
      </w:pPr>
      <w:r>
        <w:rPr>
          <w:rFonts w:cs="Calibri" w:ascii="Calibri" w:hAnsi="Calibri"/>
        </w:rPr>
        <w:t xml:space="preserve">7. A current Immigration Status Document issued by the Home Office to the holder with an endorsement indicating that the named person is allowed to stay indefinitely in the UK, or has no time limit on their stay in the UK, </w:t>
      </w:r>
      <w:r>
        <w:rPr>
          <w:rFonts w:cs="Calibri" w:ascii="Calibri" w:hAnsi="Calibri"/>
          <w:b/>
          <w:bCs/>
        </w:rPr>
        <w:t xml:space="preserve">together with </w:t>
      </w:r>
      <w:r>
        <w:rPr>
          <w:rFonts w:cs="Calibri" w:ascii="Calibri" w:hAnsi="Calibri"/>
        </w:rPr>
        <w:t xml:space="preserve">an official document giving the person’s permanent National Insurance number and their name issued by a government agency or a previous employer. </w:t>
      </w:r>
    </w:p>
    <w:p>
      <w:pPr>
        <w:pStyle w:val="Default"/>
        <w:spacing w:before="0" w:after="158"/>
        <w:rPr/>
      </w:pPr>
      <w:r>
        <w:rPr>
          <w:rFonts w:cs="Calibri" w:ascii="Calibri" w:hAnsi="Calibri"/>
        </w:rPr>
        <w:t xml:space="preserve">8. A birth or adoption certificate issued in the UK, </w:t>
      </w:r>
      <w:r>
        <w:rPr>
          <w:rFonts w:cs="Calibri" w:ascii="Calibri" w:hAnsi="Calibri"/>
          <w:b/>
          <w:bCs/>
        </w:rPr>
        <w:t xml:space="preserve">together with </w:t>
      </w:r>
      <w:r>
        <w:rPr>
          <w:rFonts w:cs="Calibri" w:ascii="Calibri" w:hAnsi="Calibri"/>
        </w:rPr>
        <w:t xml:space="preserve">an official document giving the person’s permanent National Insurance number and their name issued by a government agency or a previous employer. </w:t>
      </w:r>
    </w:p>
    <w:p>
      <w:pPr>
        <w:pStyle w:val="Default"/>
        <w:rPr/>
      </w:pPr>
      <w:r>
        <w:rPr>
          <w:rFonts w:cs="Calibri" w:ascii="Calibri" w:hAnsi="Calibri"/>
        </w:rPr>
        <w:t xml:space="preserve">9. A birth or adoption certificate issued in the Channel Islands, the Isle of Man or Ireland, </w:t>
      </w:r>
      <w:r>
        <w:rPr>
          <w:rFonts w:cs="Calibri" w:ascii="Calibri" w:hAnsi="Calibri"/>
          <w:b/>
          <w:bCs/>
        </w:rPr>
        <w:t xml:space="preserve">together with </w:t>
      </w:r>
      <w:r>
        <w:rPr>
          <w:rFonts w:cs="Calibri" w:ascii="Calibri" w:hAnsi="Calibri"/>
        </w:rPr>
        <w:t xml:space="preserve">an official document giving the person’s permanent National Insurance number and their name issued by a government agency or a previous employer. </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10. A certificate of registration or naturalisation as a British citizen, </w:t>
      </w:r>
      <w:r>
        <w:rPr>
          <w:rFonts w:cs="Calibri" w:ascii="Calibri" w:hAnsi="Calibri"/>
          <w:b/>
          <w:bCs/>
        </w:rPr>
        <w:t xml:space="preserve">together with </w:t>
      </w:r>
      <w:r>
        <w:rPr>
          <w:rFonts w:cs="Calibri" w:ascii="Calibri" w:hAnsi="Calibri"/>
        </w:rPr>
        <w:t xml:space="preserve">an official document giving the person’s permanent National Insurance number and their name issued by a government agency or a previous employer.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r>
    </w:p>
    <w:p>
      <w:pPr>
        <w:pStyle w:val="Default"/>
        <w:rPr>
          <w:rFonts w:ascii="Calibri" w:hAnsi="Calibri" w:cs="Calibri"/>
          <w:b/>
          <w:b/>
          <w:bCs/>
        </w:rPr>
      </w:pPr>
      <w:r>
        <w:rPr>
          <w:rFonts w:cs="Calibri" w:ascii="Calibri" w:hAnsi="Calibri"/>
          <w:b/>
          <w:bCs/>
        </w:rPr>
        <w:t xml:space="preserve">List B Group 1 – documents where a time-limited statutory excuse lasts until the expiry date of leave </w:t>
      </w:r>
    </w:p>
    <w:p>
      <w:pPr>
        <w:pStyle w:val="Default"/>
        <w:rPr>
          <w:rFonts w:ascii="Calibri" w:hAnsi="Calibri" w:cs="Calibri"/>
        </w:rPr>
      </w:pPr>
      <w:r>
        <w:rPr>
          <w:rFonts w:cs="Calibri" w:ascii="Calibri" w:hAnsi="Calibri"/>
        </w:rPr>
      </w:r>
    </w:p>
    <w:p>
      <w:pPr>
        <w:pStyle w:val="Default"/>
        <w:spacing w:before="0" w:after="158"/>
        <w:rPr>
          <w:rFonts w:ascii="Calibri" w:hAnsi="Calibri" w:cs="Calibri"/>
        </w:rPr>
      </w:pPr>
      <w:r>
        <w:rPr>
          <w:rFonts w:cs="Calibri" w:ascii="Calibri" w:hAnsi="Calibri"/>
        </w:rPr>
        <w:t xml:space="preserve">1. A current passport endorsed to show that the holder is allowed to stay in the UK and is currently allowed to do the type of work in question. </w:t>
      </w:r>
    </w:p>
    <w:p>
      <w:pPr>
        <w:pStyle w:val="Default"/>
        <w:spacing w:before="0" w:after="158"/>
        <w:rPr>
          <w:rFonts w:ascii="Calibri" w:hAnsi="Calibri" w:cs="Calibri"/>
        </w:rPr>
      </w:pPr>
      <w:r>
        <w:rPr>
          <w:rFonts w:cs="Calibri" w:ascii="Calibri" w:hAnsi="Calibri"/>
        </w:rPr>
        <w:t xml:space="preserve">2. A current Biometric Immigration Document (Biometric Residence Permit) issued by the Home Office to the holder which indicates that the named person can currently stay in the UK and is allowed to do the work in question. </w:t>
      </w:r>
    </w:p>
    <w:p>
      <w:pPr>
        <w:pStyle w:val="Default"/>
        <w:spacing w:before="0" w:after="158"/>
        <w:rPr>
          <w:rFonts w:ascii="Calibri" w:hAnsi="Calibri" w:cs="Calibri"/>
        </w:rPr>
      </w:pPr>
      <w:r>
        <w:rPr>
          <w:rFonts w:cs="Calibri" w:ascii="Calibri" w:hAnsi="Calibri"/>
        </w:rPr>
        <w:t xml:space="preserve">3. A current document issued by the Home Office to a family member of an EEA or Swiss citizen, and which indicates that the holder is permitted to stay in the United Kingdom for a time limited period and to do the type of work in question. </w:t>
      </w:r>
    </w:p>
    <w:p>
      <w:pPr>
        <w:pStyle w:val="Default"/>
        <w:spacing w:before="0" w:after="158"/>
        <w:rPr>
          <w:rFonts w:ascii="Calibri" w:hAnsi="Calibri" w:cs="Calibri"/>
        </w:rPr>
      </w:pPr>
      <w:r>
        <w:rPr>
          <w:rFonts w:cs="Calibri" w:ascii="Calibri" w:hAnsi="Calibri"/>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pPr>
        <w:pStyle w:val="Default"/>
        <w:spacing w:before="0" w:after="158"/>
        <w:rPr>
          <w:rFonts w:ascii="Calibri" w:hAnsi="Calibri" w:cs="Calibri"/>
        </w:rPr>
      </w:pPr>
      <w:r>
        <w:rPr>
          <w:rFonts w:cs="Calibri" w:ascii="Calibri" w:hAnsi="Calibri"/>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pPr>
        <w:pStyle w:val="Default"/>
        <w:rPr>
          <w:rFonts w:ascii="Calibri" w:hAnsi="Calibri" w:cs="Calibri"/>
        </w:rPr>
      </w:pPr>
      <w:r>
        <w:rPr>
          <w:rFonts w:cs="Calibri" w:ascii="Calibri" w:hAnsi="Calibri"/>
        </w:rPr>
        <w:t xml:space="preserve">6. A frontier worker permit issued under regulation 8 of the Citizens' Rights (Frontier Workers) (EU Exit) Regulations 2020.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 xml:space="preserve">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p>
      <w:pPr>
        <w:pStyle w:val="Default"/>
        <w:rPr>
          <w:rFonts w:ascii="Calibri" w:hAnsi="Calibri" w:cs="Calibri"/>
        </w:rPr>
      </w:pPr>
      <w:r>
        <w:rPr>
          <w:rFonts w:cs="Calibri" w:ascii="Calibri" w:hAnsi="Calibri"/>
        </w:rPr>
      </w:r>
    </w:p>
    <w:p>
      <w:pPr>
        <w:pStyle w:val="Default"/>
        <w:rPr>
          <w:rFonts w:ascii="Calibri" w:hAnsi="Calibri" w:cs="Calibri"/>
          <w:b/>
          <w:b/>
          <w:bCs/>
        </w:rPr>
      </w:pPr>
      <w:bookmarkStart w:id="0" w:name="_GoBack"/>
      <w:bookmarkEnd w:id="0"/>
      <w:r>
        <w:rPr>
          <w:rFonts w:cs="Calibri" w:ascii="Calibri" w:hAnsi="Calibri"/>
          <w:b/>
          <w:bCs/>
        </w:rPr>
        <w:t xml:space="preserve">List B Group 2 – documents where a time-limited statutory excuse lasts for six months </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1. A document issued by the Home Office showing that the holder has made an application for leave to enter or remain under Appendix EU to the immigration rules on or before 30 June 2021 </w:t>
      </w:r>
      <w:r>
        <w:rPr>
          <w:rFonts w:cs="Calibri" w:ascii="Calibri" w:hAnsi="Calibri"/>
          <w:b/>
          <w:bCs/>
        </w:rPr>
        <w:t xml:space="preserve">together with a Positive Verification Notice </w:t>
      </w:r>
      <w:r>
        <w:rPr>
          <w:rFonts w:cs="Calibri" w:ascii="Calibri" w:hAnsi="Calibri"/>
        </w:rPr>
        <w:t xml:space="preserve">from the Home Office Employer Checking Service. </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Pr>
          <w:rFonts w:cs="Calibri" w:ascii="Calibri" w:hAnsi="Calibri"/>
          <w:b/>
          <w:bCs/>
        </w:rPr>
        <w:t xml:space="preserve">together with a Positive Verification Notice </w:t>
      </w:r>
      <w:r>
        <w:rPr>
          <w:rFonts w:cs="Calibri" w:ascii="Calibri" w:hAnsi="Calibri"/>
        </w:rPr>
        <w:t xml:space="preserve">from the Home Office Employer Checking Service. </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3. An Application Registration Card issued by the Home Office stating that the holder is permitted to take the employment in question, </w:t>
      </w:r>
      <w:r>
        <w:rPr>
          <w:rFonts w:cs="Calibri" w:ascii="Calibri" w:hAnsi="Calibri"/>
          <w:b/>
          <w:bCs/>
        </w:rPr>
        <w:t xml:space="preserve">together with a Positive Verification Notice </w:t>
      </w:r>
      <w:r>
        <w:rPr>
          <w:rFonts w:cs="Calibri" w:ascii="Calibri" w:hAnsi="Calibri"/>
        </w:rPr>
        <w:t xml:space="preserve">from the Home Office Employer Checking Service. </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4. A Positive Verification Notice issued by the Home Office Employer Checking Service to the employer or prospective employer, which indicates that the named person may stay in the UK and is permitted to do the work in question</w:t>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How EEA citizens will prove their right to work from 1 July 2021</w:t>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EEA citizens granted status under the EU Settlement Scheme (EUSS)</w:t>
      </w:r>
    </w:p>
    <w:p>
      <w:pPr>
        <w:pStyle w:val="Default"/>
        <w:rPr>
          <w:rFonts w:ascii="Calibri" w:hAnsi="Calibri" w:cs="Calibri"/>
        </w:rPr>
      </w:pPr>
      <w:r>
        <w:rPr>
          <w:rFonts w:cs="Calibri" w:ascii="Calibri" w:hAnsi="Calibri"/>
        </w:rPr>
      </w:r>
    </w:p>
    <w:p>
      <w:pPr>
        <w:pStyle w:val="Default"/>
        <w:rPr/>
      </w:pPr>
      <w:r>
        <w:rPr>
          <w:rFonts w:cs="Calibri" w:ascii="Calibri" w:hAnsi="Calibri"/>
        </w:rPr>
        <w:t xml:space="preserve">From 1 July 2021, the majority of EEA citizens will prove their right to work using the Home Office online right to work service. Those who have made a successful application to the EUSS will have been granted their immigration status digitally and can only prove their right to work using Home Office online service ‘prove your right to work to an employer’ available on GOV.UK: </w:t>
      </w:r>
      <w:r>
        <w:rPr>
          <w:rStyle w:val="InternetLink"/>
          <w:rFonts w:cs="Calibri" w:ascii="Calibri" w:hAnsi="Calibri"/>
        </w:rPr>
        <w:t>https://www.gov.uk/prove-right-to-work</w:t>
      </w:r>
      <w:r>
        <w:rPr>
          <w:rFonts w:cs="Calibri" w:ascii="Calibri" w:hAnsi="Calibri"/>
        </w:rPr>
        <w:t xml:space="preserve"> </w:t>
      </w:r>
    </w:p>
    <w:p>
      <w:pPr>
        <w:pStyle w:val="Default"/>
        <w:rPr>
          <w:rFonts w:ascii="Calibri" w:hAnsi="Calibri" w:cs="Calibri"/>
        </w:rPr>
      </w:pPr>
      <w:r>
        <w:rPr>
          <w:rFonts w:cs="Calibri" w:ascii="Calibri" w:hAnsi="Calibri"/>
        </w:rPr>
        <w:t>.</w:t>
      </w:r>
    </w:p>
    <w:p>
      <w:pPr>
        <w:pStyle w:val="Default"/>
        <w:rPr>
          <w:rFonts w:ascii="Calibri" w:hAnsi="Calibri" w:cs="Calibri"/>
        </w:rPr>
      </w:pPr>
      <w:r>
        <w:rPr>
          <w:rFonts w:cs="Calibri" w:ascii="Calibri" w:hAnsi="Calibri"/>
        </w:rPr>
        <w:t>To prove their right to work from 1 July 2021, individuals will provide you with a share code and their date of birth which will enable you to check their Home Office immigration status via the online service available on GOV.UK:</w:t>
      </w:r>
    </w:p>
    <w:p>
      <w:pPr>
        <w:pStyle w:val="Default"/>
        <w:rPr/>
      </w:pPr>
      <w:r>
        <w:rPr>
          <w:rStyle w:val="InternetLink"/>
          <w:rFonts w:cs="Calibri" w:ascii="Calibri" w:hAnsi="Calibri"/>
        </w:rPr>
        <w:t>https://www.gov.uk/view-right-to-work</w:t>
      </w:r>
      <w:r>
        <w:rPr>
          <w:rFonts w:cs="Calibri" w:ascii="Calibri" w:hAnsi="Calibri"/>
        </w:rPr>
        <w:t>.</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If an EEA citizen has been granted ‘Settled Status’ by the Home Office, they will have a continuous right to work, in the same way as someone with Indefinite Leave to Enter / Remain status.</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If an EEA citizen has been granted ‘Pre-Settled Status’ by the Home Office, they will have a time-limited right to work and you must carry out a follow-up check. The Home Office online service will advise when a follow-up check must be carried out.</w:t>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r>
    </w:p>
    <w:p>
      <w:pPr>
        <w:pStyle w:val="Default"/>
        <w:rPr>
          <w:rFonts w:ascii="Calibri" w:hAnsi="Calibri" w:cs="Calibri"/>
          <w:b/>
          <w:b/>
          <w:bCs/>
        </w:rPr>
      </w:pPr>
      <w:r>
        <w:rPr>
          <w:rFonts w:cs="Calibri" w:ascii="Calibri" w:hAnsi="Calibri"/>
          <w:b/>
          <w:bCs/>
        </w:rPr>
        <w:t>Exceptions to the Home Office online service when proving right to work</w:t>
      </w:r>
    </w:p>
    <w:p>
      <w:pPr>
        <w:pStyle w:val="Default"/>
        <w:rPr>
          <w:rFonts w:ascii="Calibri" w:hAnsi="Calibri" w:cs="Calibri"/>
        </w:rPr>
      </w:pPr>
      <w:r>
        <w:rPr>
          <w:rFonts w:cs="Calibri" w:ascii="Calibri" w:hAnsi="Calibri"/>
        </w:rPr>
      </w:r>
    </w:p>
    <w:p>
      <w:pPr>
        <w:pStyle w:val="Default"/>
        <w:rPr>
          <w:rFonts w:ascii="Calibri" w:hAnsi="Calibri" w:cs="Calibri"/>
        </w:rPr>
      </w:pPr>
      <w:r>
        <w:rPr>
          <w:rFonts w:cs="Calibri" w:ascii="Calibri" w:hAnsi="Calibri"/>
        </w:rPr>
        <w:t>As of 1 July 2021, there will be some cohorts of EEA citizens who will not have status under the EUSS. They will evidence their right to work using specified documents if they cannot use the home office online system. These are detailed below:</w:t>
      </w:r>
    </w:p>
    <w:p>
      <w:pPr>
        <w:pStyle w:val="Default"/>
        <w:rPr>
          <w:rFonts w:ascii="Calibri" w:hAnsi="Calibri" w:cs="Calibri"/>
        </w:rPr>
      </w:pPr>
      <w:r>
        <w:rPr>
          <w:rFonts w:cs="Calibri" w:ascii="Calibri" w:hAnsi="Calibri"/>
        </w:rPr>
      </w:r>
    </w:p>
    <w:p>
      <w:pPr>
        <w:pStyle w:val="Default"/>
        <w:rPr/>
      </w:pPr>
      <w:r>
        <w:rPr>
          <w:rFonts w:cs="Calibri" w:ascii="Calibri" w:hAnsi="Calibri"/>
        </w:rPr>
        <w:t>•</w:t>
      </w:r>
      <w:r>
        <w:rPr>
          <w:rFonts w:eastAsia="Calibri" w:cs="Calibri" w:ascii="Calibri" w:hAnsi="Calibri"/>
        </w:rPr>
        <w:t xml:space="preserve"> </w:t>
      </w:r>
      <w:r>
        <w:rPr>
          <w:rFonts w:cs="Calibri" w:ascii="Calibri" w:hAnsi="Calibri"/>
        </w:rPr>
        <w:t>Frontier Worker Permits</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Service Provider of Switzerland visas</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Outstanding applications to UK EUSS</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Outstanding applications to Crown Dependency EUSS</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EEA citizens with Indefinite Leave to Enter/Remain</w:t>
      </w:r>
    </w:p>
    <w:p>
      <w:pPr>
        <w:pStyle w:val="Default"/>
        <w:rPr/>
      </w:pPr>
      <w:r>
        <w:rPr>
          <w:rFonts w:cs="Calibri" w:ascii="Calibri" w:hAnsi="Calibri"/>
        </w:rPr>
        <w:t>•</w:t>
      </w:r>
      <w:r>
        <w:rPr>
          <w:rFonts w:eastAsia="Calibri" w:cs="Calibri" w:ascii="Calibri" w:hAnsi="Calibri"/>
        </w:rPr>
        <w:t xml:space="preserve"> </w:t>
      </w:r>
      <w:r>
        <w:rPr>
          <w:rFonts w:cs="Calibri" w:ascii="Calibri" w:hAnsi="Calibri"/>
        </w:rPr>
        <w:t>Points-Based System visas</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sectPr>
      <w:footerReference w:type="default" r:id="rId2"/>
      <w:footerReference w:type="first" r:id="rId3"/>
      <w:type w:val="nextPage"/>
      <w:pgSz w:w="11906" w:h="16838"/>
      <w:pgMar w:left="1134" w:right="1134" w:header="0" w:top="709" w:footer="1276" w:bottom="1843" w:gutter="0"/>
      <w:pgBorders w:display="allPages" w:offsetFrom="text">
        <w:top w:val="single" w:sz="24" w:space="8" w:color="0000FF"/>
        <w:left w:val="single" w:sz="24" w:space="29" w:color="0000FF"/>
        <w:bottom w:val="single" w:sz="24" w:space="31" w:color="0000FF"/>
        <w:right w:val="single" w:sz="24" w:space="29" w:color="0000FF"/>
      </w:pgBorders>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0" distR="0" simplePos="0" locked="0" layoutInCell="1" allowOverlap="1" relativeHeight="2">
          <wp:simplePos x="0" y="0"/>
          <wp:positionH relativeFrom="column">
            <wp:posOffset>-729615</wp:posOffset>
          </wp:positionH>
          <wp:positionV relativeFrom="paragraph">
            <wp:posOffset>715010</wp:posOffset>
          </wp:positionV>
          <wp:extent cx="7559675" cy="28702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7" t="-59" r="-7" b="-59"/>
                  <a:stretch>
                    <a:fillRect/>
                  </a:stretch>
                </pic:blipFill>
                <pic:spPr bwMode="auto">
                  <a:xfrm>
                    <a:off x="0" y="0"/>
                    <a:ext cx="7559675" cy="287020"/>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-714375</wp:posOffset>
              </wp:positionH>
              <wp:positionV relativeFrom="paragraph">
                <wp:posOffset>478790</wp:posOffset>
              </wp:positionV>
              <wp:extent cx="7544435" cy="229235"/>
              <wp:effectExtent l="0" t="0" r="0" b="0"/>
              <wp:wrapNone/>
              <wp:docPr id="2" name="TheFamily"/>
              <a:graphic xmlns:a="http://schemas.openxmlformats.org/drawingml/2006/main">
                <a:graphicData uri="http://schemas.microsoft.com/office/word/2010/wordprocessingShape">
                  <wps:wsp>
                    <wps:cNvSpPr/>
                    <wps:spPr>
                      <a:xfrm>
                        <a:off x="0" y="0"/>
                        <a:ext cx="7543800" cy="2286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heFamily" fillcolor="white" stroked="f" style="position:absolute;margin-left:-56.25pt;margin-top:37.7pt;width:593.95pt;height:17.95pt">
              <w10:wrap type="none"/>
              <v:fill o:detectmouseclick="t" type="solid" color2="black"/>
              <v:stroke color="#3465a4" joinstyle="round" endcap="flat"/>
            </v:rect>
          </w:pict>
        </mc:Fallback>
      </mc:AlternateContent>
    </w:r>
    <w:r>
      <mc:AlternateContent>
        <mc:Choice Requires="wps">
          <w:drawing>
            <wp:anchor behindDoc="1" distT="72390" distB="72390" distL="0" distR="0" simplePos="0" locked="0" layoutInCell="1" allowOverlap="1" relativeHeight="4">
              <wp:simplePos x="0" y="0"/>
              <wp:positionH relativeFrom="column">
                <wp:posOffset>-714375</wp:posOffset>
              </wp:positionH>
              <wp:positionV relativeFrom="paragraph">
                <wp:posOffset>478790</wp:posOffset>
              </wp:positionV>
              <wp:extent cx="7543800" cy="228600"/>
              <wp:effectExtent l="0" t="0" r="0" b="0"/>
              <wp:wrapNone/>
              <wp:docPr id="3" name="Frame1"/>
              <a:graphic xmlns:a="http://schemas.openxmlformats.org/drawingml/2006/main">
                <a:graphicData uri="http://schemas.microsoft.com/office/word/2010/wordprocessingShape">
                  <wps:wsp>
                    <wps:cNvSpPr txBox="1"/>
                    <wps:spPr>
                      <a:xfrm>
                        <a:off x="0" y="0"/>
                        <a:ext cx="7543800" cy="228600"/>
                      </a:xfrm>
                      <a:prstGeom prst="rect"/>
                      <a:solidFill>
                        <a:srgbClr val="FFFFFF"/>
                      </a:solidFill>
                    </wps:spPr>
                    <wps:txbx>
                      <w:txbxContent>
                        <w:p>
                          <w:pPr>
                            <w:pStyle w:val="FrameContents"/>
                            <w:rPr>
                              <w:rFonts w:ascii="Verdana" w:hAnsi="Verdana" w:cs="Verdana"/>
                              <w:b/>
                              <w:b/>
                              <w:sz w:val="16"/>
                              <w:szCs w:val="16"/>
                            </w:rPr>
                          </w:pPr>
                          <w:r>
                            <w:rPr>
                              <w:rFonts w:cs="Verdana" w:ascii="Verdana" w:hAnsi="Verdana"/>
                              <w:b/>
                              <w:sz w:val="16"/>
                              <w:szCs w:val="16"/>
                            </w:rPr>
                          </w:r>
                        </w:p>
                      </w:txbxContent>
                    </wps:txbx>
                    <wps:bodyPr anchor="t" lIns="92075" tIns="46355" rIns="92075" bIns="46355">
                      <a:noAutofit/>
                    </wps:bodyPr>
                  </wps:wsp>
                </a:graphicData>
              </a:graphic>
            </wp:anchor>
          </w:drawing>
        </mc:Choice>
        <mc:Fallback>
          <w:pict>
            <v:rect fillcolor="#FFFFFF" style="position:absolute;rotation:0;width:594pt;height:18pt;mso-wrap-distance-left:0pt;mso-wrap-distance-right:0pt;mso-wrap-distance-top:5.7pt;mso-wrap-distance-bottom:5.7pt;margin-top:37.7pt;mso-position-vertical-relative:text;margin-left:-56.25pt;mso-position-horizontal-relative:text">
              <v:textbox inset="0.100694444444444in,0.0506944444444444in,0.100694444444444in,0.0506944444444444in">
                <w:txbxContent>
                  <w:p>
                    <w:pPr>
                      <w:pStyle w:val="FrameContents"/>
                      <w:rPr>
                        <w:rFonts w:ascii="Verdana" w:hAnsi="Verdana" w:cs="Verdana"/>
                        <w:b/>
                        <w:b/>
                        <w:sz w:val="16"/>
                        <w:szCs w:val="16"/>
                      </w:rPr>
                    </w:pPr>
                    <w:r>
                      <w:rPr>
                        <w:rFonts w:cs="Verdana" w:ascii="Verdana" w:hAnsi="Verdana"/>
                        <w:b/>
                        <w:sz w:val="16"/>
                        <w:szCs w:val="16"/>
                      </w:rPr>
                    </w:r>
                  </w:p>
                </w:txbxContent>
              </v:textbox>
            </v:rect>
          </w:pict>
        </mc:Fallback>
      </mc:AlternateContent>
    </w:r>
  </w:p>
</w:ft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Times New Roman" w:cs="Times New Roman"/>
      <w:color w:val="auto"/>
      <w:kern w:val="0"/>
      <w:sz w:val="22"/>
      <w:szCs w:val="20"/>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basedOn w:val="Normal"/>
    <w:qFormat/>
    <w:pPr>
      <w:spacing w:lineRule="auto" w:line="240"/>
    </w:pPr>
    <w:rPr>
      <w:rFonts w:ascii="Tahoma" w:hAnsi="Tahoma" w:eastAsia="Calibri" w:cs="Tahoma"/>
      <w:color w:val="000000"/>
      <w:sz w:val="24"/>
      <w:szCs w:val="24"/>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Bolton SICT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2023-05-23T09:29:00Z</dcterms:created>
  <dc:creator>Louise Vickers</dc:creator>
  <dc:description/>
  <dc:language>en-US</dc:language>
  <cp:lastModifiedBy>Louise Vickers</cp:lastModifiedBy>
  <cp:lastPrinted>1995-11-21T17:41:00Z</cp:lastPrinted>
  <dcterms:modified xsi:type="dcterms:W3CDTF">2023-05-23T09:32:00Z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SICT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