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LO-normal"/>
        <w:keepNext w:val="false"/>
        <w:keepLines w:val="false"/>
        <w:pageBreakBefore w:val="false"/>
        <w:widowControl w:val="false"/>
        <w:pBdr/>
        <w:spacing w:lineRule="auto" w:line="276" w:before="0" w:after="0"/>
        <w:ind w:right="0"/>
        <w:jc w:val="left"/>
        <w:rPr/>
      </w:pPr>
      <w:r>
        <w:rPr/>
      </w:r>
    </w:p>
    <w:p>
      <w:pPr>
        <w:pStyle w:val="LO-normal"/>
        <w:widowControl w:val="false"/>
        <w:pBdr/>
        <w:spacing w:lineRule="auto" w:line="276"/>
        <w:rPr>
          <w:rFonts w:ascii="Trebuchet MS" w:hAnsi="Trebuchet MS" w:eastAsia="Trebuchet MS" w:cs="Trebuchet MS"/>
        </w:rPr>
      </w:pPr>
      <w:r>
        <w:rPr>
          <w:rFonts w:eastAsia="Trebuchet MS" w:cs="Trebuchet MS" w:ascii="Trebuchet MS" w:hAnsi="Trebuchet MS"/>
        </w:rPr>
        <w:drawing>
          <wp:anchor behindDoc="0" distT="0" distB="0" distL="114935" distR="114935" simplePos="0" locked="0" layoutInCell="1" allowOverlap="1" relativeHeight="2">
            <wp:simplePos x="0" y="0"/>
            <wp:positionH relativeFrom="column">
              <wp:posOffset>5059680</wp:posOffset>
            </wp:positionH>
            <wp:positionV relativeFrom="margin">
              <wp:posOffset>-328930</wp:posOffset>
            </wp:positionV>
            <wp:extent cx="1136650" cy="1088390"/>
            <wp:effectExtent l="0" t="0" r="0" b="0"/>
            <wp:wrapNone/>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8" t="-19" r="-18" b="-19"/>
                    <a:stretch>
                      <a:fillRect/>
                    </a:stretch>
                  </pic:blipFill>
                  <pic:spPr bwMode="auto">
                    <a:xfrm>
                      <a:off x="0" y="0"/>
                      <a:ext cx="1136650" cy="1088390"/>
                    </a:xfrm>
                    <a:prstGeom prst="rect">
                      <a:avLst/>
                    </a:prstGeom>
                  </pic:spPr>
                </pic:pic>
              </a:graphicData>
            </a:graphic>
          </wp:anchor>
        </w:drawing>
      </w:r>
    </w:p>
    <w:p>
      <w:pPr>
        <w:pStyle w:val="LO-normal"/>
        <w:rPr>
          <w:rFonts w:ascii="Trebuchet MS" w:hAnsi="Trebuchet MS" w:eastAsia="Trebuchet MS" w:cs="Trebuchet MS"/>
          <w:b/>
          <w:sz w:val="44"/>
          <w:szCs w:val="44"/>
        </w:rPr>
      </w:pPr>
      <w:r>
        <w:rPr>
          <w:rFonts w:eastAsia="Trebuchet MS" w:cs="Trebuchet MS" w:ascii="Trebuchet MS" w:hAnsi="Trebuchet MS"/>
          <w:b/>
          <w:sz w:val="44"/>
          <w:szCs w:val="44"/>
        </w:rPr>
        <w:t>Job Description</w:t>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r>
    </w:p>
    <w:tbl>
      <w:tblPr>
        <w:tblW w:w="9738" w:type="dxa"/>
        <w:jc w:val="left"/>
        <w:tblInd w:w="-7" w:type="dxa"/>
        <w:tblLayout w:type="fixed"/>
        <w:tblCellMar>
          <w:top w:w="0" w:type="dxa"/>
          <w:left w:w="108" w:type="dxa"/>
          <w:bottom w:w="0" w:type="dxa"/>
          <w:right w:w="108" w:type="dxa"/>
        </w:tblCellMar>
      </w:tblPr>
      <w:tblGrid>
        <w:gridCol w:w="817"/>
        <w:gridCol w:w="1700"/>
        <w:gridCol w:w="7221"/>
      </w:tblGrid>
      <w:tr>
        <w:trPr>
          <w:trHeight w:val="397" w:hRule="atLeast"/>
        </w:trPr>
        <w:tc>
          <w:tcPr>
            <w:tcW w:w="2517" w:type="dxa"/>
            <w:gridSpan w:val="2"/>
            <w:tcBorders>
              <w:top w:val="single" w:sz="4" w:space="0" w:color="000000"/>
              <w:left w:val="single" w:sz="4" w:space="0" w:color="000000"/>
              <w:bottom w:val="single" w:sz="4" w:space="0" w:color="000000"/>
            </w:tcBorders>
            <w:shd w:fill="E7E6E6" w:val="clear"/>
            <w:vAlign w:val="center"/>
          </w:tcPr>
          <w:p>
            <w:pPr>
              <w:pStyle w:val="LO-normal"/>
              <w:rPr>
                <w:rFonts w:ascii="Trebuchet MS" w:hAnsi="Trebuchet MS" w:eastAsia="Trebuchet MS" w:cs="Trebuchet MS"/>
                <w:b/>
              </w:rPr>
            </w:pPr>
            <w:r>
              <w:rPr>
                <w:rFonts w:eastAsia="Trebuchet MS" w:cs="Trebuchet MS" w:ascii="Trebuchet MS" w:hAnsi="Trebuchet MS"/>
                <w:b/>
              </w:rPr>
              <w:t>Job Details</w:t>
            </w:r>
          </w:p>
        </w:tc>
        <w:tc>
          <w:tcPr>
            <w:tcW w:w="7221" w:type="dxa"/>
            <w:tcBorders>
              <w:top w:val="single" w:sz="4" w:space="0" w:color="000000"/>
              <w:bottom w:val="single" w:sz="4" w:space="0" w:color="000000"/>
              <w:right w:val="single" w:sz="4" w:space="0" w:color="000000"/>
            </w:tcBorders>
            <w:shd w:fill="E7E6E6" w:val="clear"/>
          </w:tcPr>
          <w:p>
            <w:pPr>
              <w:pStyle w:val="LO-normal"/>
              <w:snapToGrid w:val="false"/>
              <w:spacing w:lineRule="auto" w:line="240" w:before="60" w:after="0"/>
              <w:rPr>
                <w:rFonts w:ascii="Trebuchet MS" w:hAnsi="Trebuchet MS" w:eastAsia="Trebuchet MS" w:cs="Trebuchet MS"/>
              </w:rPr>
            </w:pPr>
            <w:r>
              <w:rPr>
                <w:rFonts w:eastAsia="Trebuchet MS" w:cs="Trebuchet MS" w:ascii="Trebuchet MS" w:hAnsi="Trebuchet MS"/>
              </w:rPr>
            </w:r>
          </w:p>
        </w:tc>
      </w:tr>
      <w:tr>
        <w:trPr/>
        <w:tc>
          <w:tcPr>
            <w:tcW w:w="2517" w:type="dxa"/>
            <w:gridSpan w:val="2"/>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Job Title</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Grade</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 xml:space="preserve">Responsible to </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Primary Purpose of Job</w:t>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Principal Responsibilities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7221" w:type="dxa"/>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HLTA for SEND</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Grade F SCP 17 to 23</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Head of START Network (SENCo)</w:t>
            </w:r>
          </w:p>
          <w:p>
            <w:pPr>
              <w:pStyle w:val="LO-normal"/>
              <w:rPr>
                <w:rFonts w:ascii="Trebuchet MS" w:hAnsi="Trebuchet MS" w:eastAsia="Trebuchet MS" w:cs="Trebuchet MS"/>
                <w:sz w:val="28"/>
                <w:szCs w:val="28"/>
              </w:rPr>
            </w:pPr>
            <w:r>
              <w:rPr>
                <w:rFonts w:eastAsia="Trebuchet MS" w:cs="Trebuchet MS" w:ascii="Trebuchet MS" w:hAnsi="Trebuchet MS"/>
                <w:sz w:val="28"/>
                <w:szCs w:val="28"/>
              </w:rPr>
            </w:r>
          </w:p>
          <w:p>
            <w:pPr>
              <w:pStyle w:val="LO-normal"/>
              <w:rPr/>
            </w:pPr>
            <w:r>
              <w:rPr>
                <w:rFonts w:eastAsia="Trebuchet MS" w:cs="Trebuchet MS" w:ascii="Trebuchet MS" w:hAnsi="Trebuchet MS"/>
                <w:color w:val="000000"/>
                <w:sz w:val="22"/>
                <w:szCs w:val="22"/>
              </w:rPr>
              <w:t xml:space="preserve">To provide effective support for teaching and learning in school so that learners with </w:t>
            </w:r>
            <w:r>
              <w:rPr>
                <w:rFonts w:eastAsia="Trebuchet MS" w:cs="Trebuchet MS" w:ascii="Trebuchet MS" w:hAnsi="Trebuchet MS"/>
                <w:sz w:val="22"/>
                <w:szCs w:val="22"/>
              </w:rPr>
              <w:t>additional needs</w:t>
            </w:r>
            <w:r>
              <w:rPr>
                <w:rFonts w:eastAsia="Trebuchet MS" w:cs="Trebuchet MS" w:ascii="Trebuchet MS" w:hAnsi="Trebuchet MS"/>
                <w:color w:val="000000"/>
                <w:sz w:val="22"/>
                <w:szCs w:val="22"/>
              </w:rPr>
              <w:t xml:space="preserve"> secure swift progress</w:t>
            </w:r>
          </w:p>
          <w:p>
            <w:pPr>
              <w:pStyle w:val="LO-normal"/>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rPr/>
            </w:pPr>
            <w:r>
              <w:rPr>
                <w:rFonts w:eastAsia="Trebuchet MS" w:cs="Trebuchet MS" w:ascii="Trebuchet MS" w:hAnsi="Trebuchet MS"/>
                <w:color w:val="000000"/>
                <w:sz w:val="22"/>
                <w:szCs w:val="22"/>
              </w:rPr>
              <w:t xml:space="preserve">Plan and deliver bespoke interventions, </w:t>
            </w:r>
            <w:r>
              <w:rPr>
                <w:rFonts w:eastAsia="Trebuchet MS" w:cs="Trebuchet MS" w:ascii="Trebuchet MS" w:hAnsi="Trebuchet MS"/>
                <w:sz w:val="22"/>
                <w:szCs w:val="22"/>
              </w:rPr>
              <w:t>for learners with additional needs.</w:t>
            </w:r>
          </w:p>
          <w:p>
            <w:pPr>
              <w:pStyle w:val="LO-normal"/>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Develop and prepare resources for learning activities in class and for interventions.</w:t>
            </w:r>
          </w:p>
          <w:p>
            <w:pPr>
              <w:pStyle w:val="LO-normal"/>
              <w:rPr/>
            </w:pPr>
            <w:r>
              <w:rPr>
                <w:rFonts w:eastAsia="Trebuchet MS" w:cs="Trebuchet MS" w:ascii="Trebuchet MS" w:hAnsi="Trebuchet MS"/>
                <w:color w:val="000000"/>
                <w:sz w:val="22"/>
                <w:szCs w:val="22"/>
              </w:rPr>
              <w:t xml:space="preserve">Use assessment to measure progress and respond to the needs of learners with </w:t>
            </w:r>
            <w:r>
              <w:rPr>
                <w:rFonts w:eastAsia="Trebuchet MS" w:cs="Trebuchet MS" w:ascii="Trebuchet MS" w:hAnsi="Trebuchet MS"/>
                <w:sz w:val="22"/>
                <w:szCs w:val="22"/>
              </w:rPr>
              <w:t>additional needs</w:t>
            </w:r>
            <w:r>
              <w:rPr>
                <w:rFonts w:eastAsia="Trebuchet MS" w:cs="Trebuchet MS" w:ascii="Trebuchet MS" w:hAnsi="Trebuchet MS"/>
                <w:color w:val="000000"/>
                <w:sz w:val="22"/>
                <w:szCs w:val="22"/>
              </w:rPr>
              <w:t xml:space="preserve"> in developing </w:t>
            </w:r>
            <w:r>
              <w:rPr>
                <w:rFonts w:eastAsia="Trebuchet MS" w:cs="Trebuchet MS" w:ascii="Trebuchet MS" w:hAnsi="Trebuchet MS"/>
                <w:sz w:val="22"/>
                <w:szCs w:val="22"/>
              </w:rPr>
              <w:t>high levels of literacy and numeracy</w:t>
            </w:r>
            <w:r>
              <w:rPr>
                <w:rFonts w:eastAsia="Trebuchet MS" w:cs="Trebuchet MS" w:ascii="Trebuchet MS" w:hAnsi="Trebuchet MS"/>
                <w:color w:val="000000"/>
                <w:sz w:val="22"/>
                <w:szCs w:val="22"/>
              </w:rPr>
              <w:t xml:space="preserve"> and supporting progress across the curriculum.</w:t>
            </w:r>
          </w:p>
          <w:p>
            <w:pPr>
              <w:pStyle w:val="LO-normal"/>
              <w:spacing w:lineRule="auto" w:line="240" w:before="60" w:after="0"/>
              <w:rPr>
                <w:rFonts w:ascii="Trebuchet MS" w:hAnsi="Trebuchet MS" w:eastAsia="Trebuchet MS" w:cs="Trebuchet MS"/>
                <w:sz w:val="22"/>
                <w:szCs w:val="22"/>
              </w:rPr>
            </w:pPr>
            <w:r>
              <w:rPr>
                <w:rFonts w:eastAsia="Trebuchet MS" w:cs="Trebuchet MS" w:ascii="Trebuchet MS" w:hAnsi="Trebuchet MS"/>
                <w:sz w:val="22"/>
                <w:szCs w:val="22"/>
              </w:rPr>
              <w:t>Collaborate with teachers to support the pre teaching and overlearning of subject content at KS4 for learners with additional needs.</w:t>
            </w:r>
          </w:p>
          <w:p>
            <w:pPr>
              <w:pStyle w:val="LO-normal"/>
              <w:spacing w:lineRule="auto" w:line="240" w:before="60" w:after="0"/>
              <w:rPr>
                <w:rFonts w:ascii="Trebuchet MS" w:hAnsi="Trebuchet MS" w:eastAsia="Trebuchet MS" w:cs="Trebuchet MS"/>
                <w:sz w:val="22"/>
                <w:szCs w:val="22"/>
              </w:rPr>
            </w:pPr>
            <w:r>
              <w:rPr>
                <w:rFonts w:eastAsia="Trebuchet MS" w:cs="Trebuchet MS" w:ascii="Trebuchet MS" w:hAnsi="Trebuchet MS"/>
                <w:sz w:val="22"/>
                <w:szCs w:val="22"/>
              </w:rPr>
              <w:t>Support the Head of START Network in effectively deploying TAs across the curriculum.</w:t>
            </w:r>
          </w:p>
          <w:p>
            <w:pPr>
              <w:pStyle w:val="LO-normal"/>
              <w:spacing w:lineRule="auto" w:line="240" w:before="60" w:after="0"/>
              <w:rPr>
                <w:rFonts w:ascii="Trebuchet MS" w:hAnsi="Trebuchet MS" w:eastAsia="Trebuchet MS" w:cs="Trebuchet MS"/>
                <w:sz w:val="22"/>
                <w:szCs w:val="22"/>
              </w:rPr>
            </w:pPr>
            <w:r>
              <w:rPr>
                <w:rFonts w:eastAsia="Trebuchet MS" w:cs="Trebuchet MS" w:ascii="Trebuchet MS" w:hAnsi="Trebuchet MS"/>
                <w:sz w:val="22"/>
                <w:szCs w:val="22"/>
              </w:rPr>
              <w:t>Plan and lead on inclusive extra-curricular activities and enrichment for learners with additional needs.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Plan and deliver specialist training to teachers and other associate staff.</w:t>
            </w:r>
          </w:p>
          <w:p>
            <w:pPr>
              <w:pStyle w:val="LO-normal"/>
              <w:spacing w:lineRule="auto" w:line="240" w:before="60" w:after="0"/>
              <w:rPr>
                <w:rFonts w:ascii="Trebuchet MS" w:hAnsi="Trebuchet MS" w:eastAsia="Trebuchet MS" w:cs="Trebuchet MS"/>
                <w:sz w:val="22"/>
                <w:szCs w:val="22"/>
              </w:rPr>
            </w:pPr>
            <w:r>
              <w:rPr>
                <w:rFonts w:eastAsia="Trebuchet MS" w:cs="Trebuchet MS" w:ascii="Trebuchet MS" w:hAnsi="Trebuchet MS"/>
                <w:sz w:val="22"/>
                <w:szCs w:val="22"/>
              </w:rPr>
              <w:t xml:space="preserve">Work with all relevant stakeholders to support learners with applying and making decisions on further education and careers. </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Support in the planning and delivery of Access Arrangements for exams.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2517" w:type="dxa"/>
            <w:gridSpan w:val="2"/>
            <w:tcBorders>
              <w:top w:val="single" w:sz="4" w:space="0" w:color="000000"/>
            </w:tcBorders>
          </w:tcPr>
          <w:p>
            <w:pPr>
              <w:pStyle w:val="LO-normal"/>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tc>
        <w:tc>
          <w:tcPr>
            <w:tcW w:w="7221" w:type="dxa"/>
            <w:tcBorders>
              <w:top w:val="single" w:sz="4" w:space="0" w:color="000000"/>
            </w:tcBorders>
          </w:tcPr>
          <w:p>
            <w:pPr>
              <w:pStyle w:val="LO-normal"/>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tc>
      </w:tr>
      <w:tr>
        <w:trPr>
          <w:cantSplit w:val="true"/>
        </w:trPr>
        <w:tc>
          <w:tcPr>
            <w:tcW w:w="9738" w:type="dxa"/>
            <w:gridSpan w:val="3"/>
            <w:tcBorders>
              <w:top w:val="single" w:sz="4" w:space="0" w:color="000000"/>
              <w:left w:val="single" w:sz="4" w:space="0" w:color="000000"/>
              <w:bottom w:val="single" w:sz="4" w:space="0" w:color="000000"/>
              <w:right w:val="single" w:sz="4" w:space="0" w:color="000000"/>
            </w:tcBorders>
            <w:shd w:fill="E7E6E6" w:val="clear"/>
          </w:tcPr>
          <w:p>
            <w:pPr>
              <w:pStyle w:val="LO-normal"/>
              <w:spacing w:lineRule="auto" w:line="240" w:before="60" w:after="120"/>
              <w:jc w:val="both"/>
              <w:rPr>
                <w:rFonts w:ascii="Trebuchet MS" w:hAnsi="Trebuchet MS" w:eastAsia="Trebuchet MS" w:cs="Trebuchet MS"/>
                <w:b/>
                <w:sz w:val="22"/>
                <w:szCs w:val="22"/>
              </w:rPr>
            </w:pPr>
            <w:r>
              <w:rPr>
                <w:rFonts w:eastAsia="Trebuchet MS" w:cs="Trebuchet MS" w:ascii="Trebuchet MS" w:hAnsi="Trebuchet MS"/>
                <w:b/>
                <w:sz w:val="22"/>
                <w:szCs w:val="22"/>
              </w:rPr>
              <w:t>MAIN DUTIES</w:t>
            </w:r>
          </w:p>
        </w:tc>
      </w:tr>
      <w:tr>
        <w:trPr>
          <w:trHeight w:val="454" w:hRule="atLeast"/>
        </w:trPr>
        <w:tc>
          <w:tcPr>
            <w:tcW w:w="817" w:type="dxa"/>
            <w:tcBorders>
              <w:top w:val="single" w:sz="4" w:space="0" w:color="000000"/>
              <w:left w:val="single" w:sz="4" w:space="0" w:color="000000"/>
              <w:bottom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1.</w:t>
            </w:r>
          </w:p>
        </w:tc>
        <w:tc>
          <w:tcPr>
            <w:tcW w:w="8921" w:type="dxa"/>
            <w:gridSpan w:val="2"/>
            <w:tcBorders>
              <w:top w:val="single" w:sz="4" w:space="0" w:color="000000"/>
              <w:bottom w:val="single" w:sz="4" w:space="0" w:color="000000"/>
              <w:right w:val="single" w:sz="4" w:space="0" w:color="000000"/>
            </w:tcBorders>
          </w:tcPr>
          <w:p>
            <w:pPr>
              <w:pStyle w:val="LO-normal"/>
              <w:jc w:val="both"/>
              <w:rPr>
                <w:rFonts w:ascii="Trebuchet MS" w:hAnsi="Trebuchet MS" w:eastAsia="Trebuchet MS" w:cs="Trebuchet MS"/>
                <w:b/>
                <w:sz w:val="22"/>
                <w:szCs w:val="22"/>
              </w:rPr>
            </w:pPr>
            <w:r>
              <w:rPr>
                <w:rFonts w:eastAsia="Trebuchet MS" w:cs="Trebuchet MS" w:ascii="Trebuchet MS" w:hAnsi="Trebuchet MS"/>
                <w:b/>
                <w:sz w:val="22"/>
                <w:szCs w:val="22"/>
              </w:rPr>
              <w:t>Support for the Learner</w:t>
            </w:r>
          </w:p>
        </w:tc>
      </w:tr>
      <w:tr>
        <w:trPr/>
        <w:tc>
          <w:tcPr>
            <w:tcW w:w="9738" w:type="dxa"/>
            <w:gridSpan w:val="3"/>
            <w:tcBorders>
              <w:top w:val="single" w:sz="4" w:space="0" w:color="000000"/>
              <w:left w:val="single" w:sz="4" w:space="0" w:color="000000"/>
              <w:bottom w:val="single" w:sz="4" w:space="0" w:color="000000"/>
              <w:right w:val="single" w:sz="4" w:space="0" w:color="000000"/>
            </w:tcBorders>
          </w:tcPr>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 xml:space="preserve">Use specialist skills, training and experience to support </w:t>
            </w:r>
            <w:r>
              <w:rPr>
                <w:rFonts w:eastAsia="Trebuchet MS" w:cs="Trebuchet MS" w:ascii="Trebuchet MS" w:hAnsi="Trebuchet MS"/>
                <w:color w:val="000000"/>
                <w:sz w:val="22"/>
                <w:szCs w:val="22"/>
              </w:rPr>
              <w:t xml:space="preserve">learners with </w:t>
            </w:r>
            <w:r>
              <w:rPr>
                <w:rFonts w:eastAsia="Trebuchet MS" w:cs="Trebuchet MS" w:ascii="Trebuchet MS" w:hAnsi="Trebuchet MS"/>
                <w:sz w:val="22"/>
                <w:szCs w:val="22"/>
              </w:rPr>
              <w:t>additional needs learning within and outside the classroom.</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 xml:space="preserve">Support literacy and numeracy development as well as working memory and social communication and interaction of </w:t>
            </w:r>
            <w:r>
              <w:rPr>
                <w:rFonts w:eastAsia="Trebuchet MS" w:cs="Trebuchet MS" w:ascii="Trebuchet MS" w:hAnsi="Trebuchet MS"/>
                <w:color w:val="000000"/>
                <w:sz w:val="22"/>
                <w:szCs w:val="22"/>
              </w:rPr>
              <w:t xml:space="preserve">learners with </w:t>
            </w:r>
            <w:r>
              <w:rPr>
                <w:rFonts w:eastAsia="Trebuchet MS" w:cs="Trebuchet MS" w:ascii="Trebuchet MS" w:hAnsi="Trebuchet MS"/>
                <w:sz w:val="22"/>
                <w:szCs w:val="22"/>
              </w:rPr>
              <w:t>additional needs</w:t>
            </w:r>
            <w:r>
              <w:rPr>
                <w:rFonts w:eastAsia="Trebuchet MS" w:cs="Trebuchet MS" w:ascii="Trebuchet MS" w:hAnsi="Trebuchet MS"/>
                <w:color w:val="000000"/>
                <w:sz w:val="22"/>
                <w:szCs w:val="22"/>
              </w:rPr>
              <w:t>.</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Have high expectations of all learners with a commitment to helping them fulfil their potential through planning, monitoring and delivering teaching and learning activities.</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Devise clearly structured activities that interest and motivate to advance learners’ learning.</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Monitor learners’ responses to activities and modify the approach accordingly.</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Use ICT skills to advance learners’ learning for example use of iPad technology and interactive white boards.</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Escort and supervise learners on educational visits and out of school activities.</w:t>
            </w:r>
          </w:p>
          <w:p>
            <w:pPr>
              <w:pStyle w:val="LO-normal"/>
              <w:numPr>
                <w:ilvl w:val="0"/>
                <w:numId w:val="3"/>
              </w:numPr>
              <w:spacing w:lineRule="auto" w:line="240" w:before="0" w:after="60"/>
              <w:ind w:hanging="360" w:left="720" w:right="0"/>
              <w:jc w:val="both"/>
              <w:rPr/>
            </w:pPr>
            <w:r>
              <w:rPr>
                <w:rFonts w:eastAsia="Trebuchet MS" w:cs="Trebuchet MS" w:ascii="Trebuchet MS" w:hAnsi="Trebuchet MS"/>
                <w:sz w:val="22"/>
                <w:szCs w:val="22"/>
              </w:rPr>
              <w:t xml:space="preserve">Use behaviour management strategies in line with the school’s behaviour policy to </w:t>
            </w:r>
            <w:r>
              <w:rPr>
                <w:rFonts w:eastAsia="Trebuchet MS" w:cs="Trebuchet MS" w:ascii="Trebuchet MS" w:hAnsi="Trebuchet MS"/>
                <w:color w:val="000000"/>
                <w:sz w:val="22"/>
                <w:szCs w:val="22"/>
              </w:rPr>
              <w:t xml:space="preserve">contribute to a purposeful learning environment and encourage learners to interact and work </w:t>
            </w:r>
            <w:r>
              <w:rPr>
                <w:rFonts w:eastAsia="Trebuchet MS" w:cs="Trebuchet MS" w:ascii="Trebuchet MS" w:hAnsi="Trebuchet MS"/>
                <w:sz w:val="22"/>
                <w:szCs w:val="22"/>
              </w:rPr>
              <w:t>cooperatively</w:t>
            </w:r>
            <w:r>
              <w:rPr>
                <w:rFonts w:eastAsia="Trebuchet MS" w:cs="Trebuchet MS" w:ascii="Trebuchet MS" w:hAnsi="Trebuchet MS"/>
                <w:color w:val="000000"/>
                <w:sz w:val="22"/>
                <w:szCs w:val="22"/>
              </w:rPr>
              <w:t xml:space="preserve"> with others.</w:t>
            </w:r>
          </w:p>
          <w:p>
            <w:pPr>
              <w:pStyle w:val="LO-normal"/>
              <w:numPr>
                <w:ilvl w:val="0"/>
                <w:numId w:val="3"/>
              </w:numPr>
              <w:spacing w:lineRule="auto" w:line="240" w:before="0" w:after="60"/>
              <w:ind w:hanging="360" w:left="720" w:right="0"/>
              <w:jc w:val="both"/>
              <w:rPr/>
            </w:pPr>
            <w:r>
              <w:rPr>
                <w:rFonts w:eastAsia="Trebuchet MS" w:cs="Trebuchet MS" w:ascii="Trebuchet MS" w:hAnsi="Trebuchet MS"/>
                <w:color w:val="000000"/>
                <w:sz w:val="22"/>
                <w:szCs w:val="22"/>
              </w:rPr>
              <w:t>Support learners in developing the WISDOM qualities and the skills to communicate their learning to a wider audience.</w:t>
            </w:r>
          </w:p>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r>
          </w:p>
        </w:tc>
      </w:tr>
      <w:tr>
        <w:trPr>
          <w:trHeight w:val="454" w:hRule="atLeast"/>
        </w:trPr>
        <w:tc>
          <w:tcPr>
            <w:tcW w:w="817" w:type="dxa"/>
            <w:tcBorders>
              <w:top w:val="single" w:sz="4" w:space="0" w:color="000000"/>
              <w:left w:val="single" w:sz="4" w:space="0" w:color="000000"/>
              <w:bottom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2.</w:t>
            </w:r>
          </w:p>
        </w:tc>
        <w:tc>
          <w:tcPr>
            <w:tcW w:w="8921" w:type="dxa"/>
            <w:gridSpan w:val="2"/>
            <w:tcBorders>
              <w:top w:val="single" w:sz="4" w:space="0" w:color="000000"/>
              <w:bottom w:val="single" w:sz="4" w:space="0" w:color="000000"/>
              <w:right w:val="single" w:sz="4" w:space="0" w:color="000000"/>
            </w:tcBorders>
          </w:tcPr>
          <w:p>
            <w:pPr>
              <w:pStyle w:val="LO-normal"/>
              <w:jc w:val="both"/>
              <w:rPr>
                <w:rFonts w:ascii="Trebuchet MS" w:hAnsi="Trebuchet MS" w:eastAsia="Trebuchet MS" w:cs="Trebuchet MS"/>
                <w:b/>
                <w:sz w:val="22"/>
                <w:szCs w:val="22"/>
              </w:rPr>
            </w:pPr>
            <w:r>
              <w:rPr>
                <w:rFonts w:eastAsia="Trebuchet MS" w:cs="Trebuchet MS" w:ascii="Trebuchet MS" w:hAnsi="Trebuchet MS"/>
                <w:b/>
                <w:sz w:val="22"/>
                <w:szCs w:val="22"/>
              </w:rPr>
              <w:t>Support for the Teacher</w:t>
            </w:r>
          </w:p>
        </w:tc>
      </w:tr>
      <w:tr>
        <w:trPr>
          <w:trHeight w:val="7503" w:hRule="atLeast"/>
        </w:trPr>
        <w:tc>
          <w:tcPr>
            <w:tcW w:w="9738" w:type="dxa"/>
            <w:gridSpan w:val="3"/>
            <w:tcBorders>
              <w:top w:val="single" w:sz="4" w:space="0" w:color="000000"/>
              <w:left w:val="single" w:sz="4" w:space="0" w:color="000000"/>
              <w:bottom w:val="single" w:sz="4" w:space="0" w:color="000000"/>
              <w:right w:val="single" w:sz="4" w:space="0" w:color="000000"/>
            </w:tcBorders>
          </w:tcPr>
          <w:p>
            <w:pPr>
              <w:pStyle w:val="LO-normal"/>
              <w:numPr>
                <w:ilvl w:val="0"/>
                <w:numId w:val="2"/>
              </w:numPr>
              <w:ind w:hanging="360" w:left="720" w:right="0"/>
              <w:rPr/>
            </w:pPr>
            <w:r>
              <w:rPr>
                <w:rFonts w:eastAsia="Trebuchet MS" w:cs="Trebuchet MS" w:ascii="Trebuchet MS" w:hAnsi="Trebuchet MS"/>
                <w:sz w:val="22"/>
                <w:szCs w:val="22"/>
              </w:rPr>
              <w:t>Provide support for teachers by assisting with adaptive teaching for learners with additional needs and embed the strategies to promote quality first teaching across the curriculum.</w:t>
            </w:r>
          </w:p>
          <w:p>
            <w:pPr>
              <w:pStyle w:val="LO-normal"/>
              <w:numPr>
                <w:ilvl w:val="0"/>
                <w:numId w:val="2"/>
              </w:numPr>
              <w:ind w:hanging="360" w:left="720" w:right="0"/>
              <w:rPr/>
            </w:pPr>
            <w:r>
              <w:rPr>
                <w:rFonts w:eastAsia="Trebuchet MS" w:cs="Trebuchet MS" w:ascii="Trebuchet MS" w:hAnsi="Trebuchet MS"/>
                <w:sz w:val="22"/>
                <w:szCs w:val="22"/>
              </w:rPr>
              <w:t>Take responsibility for individuals and groups of learners with additional needs or whole classes when the teacher is not present and in our support suite.</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Use areas of expertise to contribute to planning and preparation of learning activities and the three pillars of the trivium: knowledge, exploration and communication.</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 xml:space="preserve">Support adaptive teaching and learning in the three pillars of the trivium across all curriculum areas. </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Contribute to the selection and preparation of resources suitable for learners’ interest and abilities.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Advance learning when working with individuals, small groups and whole classes without the presence of the assigned teacher.</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Monitor learners’ progress in order to provide focused support and feedback through responsive teaching methods and support the evaluation of learners’ progress using a range of assessment techniques.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Contribute to maintaining pupil records, information and data, for example Learner profiles, assessments and analysing records of learners’ progress.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 xml:space="preserve">Contribute to effective personalised provision by taking practical account of diversity. </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Identify and support gifted and talented learners.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Use effective strategies and the school’s behaviour policy to promote positive behaviour and record behavioural incidents in accordance with school protocols.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Organise and manage learning activities in ways which keep learners safe.</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Promote learners’ well-being and always ensure the health and safety of learners.</w:t>
            </w:r>
          </w:p>
          <w:p>
            <w:pPr>
              <w:pStyle w:val="LO-normal"/>
              <w:numPr>
                <w:ilvl w:val="0"/>
                <w:numId w:val="2"/>
              </w:numPr>
              <w:spacing w:lineRule="auto" w:line="240" w:before="0" w:after="60"/>
              <w:ind w:hanging="360" w:left="720" w:right="0"/>
              <w:jc w:val="both"/>
              <w:rPr/>
            </w:pPr>
            <w:r>
              <w:rPr>
                <w:rFonts w:eastAsia="Trebuchet MS" w:cs="Trebuchet MS" w:ascii="Trebuchet MS" w:hAnsi="Trebuchet MS"/>
                <w:sz w:val="22"/>
                <w:szCs w:val="22"/>
              </w:rPr>
              <w:t>Communicate effectively and sensitively with learners, colleagues, parents and carers.</w:t>
            </w:r>
          </w:p>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pBdr>
                <w:top w:val="single" w:sz="4" w:space="1" w:color="000000"/>
                <w:left w:val="single" w:sz="4" w:space="4" w:color="000000"/>
                <w:bottom w:val="single" w:sz="4" w:space="1" w:color="000000"/>
                <w:right w:val="single" w:sz="4" w:space="4" w:color="000000"/>
              </w:pBdr>
              <w:spacing w:lineRule="auto" w:line="240" w:before="0" w:after="60"/>
              <w:jc w:val="both"/>
              <w:rPr>
                <w:rFonts w:ascii="Trebuchet MS" w:hAnsi="Trebuchet MS" w:eastAsia="Trebuchet MS" w:cs="Trebuchet MS"/>
                <w:b/>
                <w:sz w:val="22"/>
                <w:szCs w:val="22"/>
              </w:rPr>
            </w:pPr>
            <w:r>
              <w:rPr>
                <w:rFonts w:eastAsia="Trebuchet MS" w:cs="Trebuchet MS" w:ascii="Trebuchet MS" w:hAnsi="Trebuchet MS"/>
                <w:b/>
                <w:sz w:val="22"/>
                <w:szCs w:val="22"/>
              </w:rPr>
              <w:t>3.          Support for the school</w:t>
            </w:r>
          </w:p>
          <w:p>
            <w:pPr>
              <w:pStyle w:val="LO-normal"/>
              <w:pBdr>
                <w:top w:val="single" w:sz="4" w:space="1" w:color="000000"/>
                <w:left w:val="single" w:sz="4" w:space="4" w:color="000000"/>
                <w:bottom w:val="single" w:sz="4" w:space="1" w:color="000000"/>
                <w:right w:val="single" w:sz="4" w:space="4" w:color="000000"/>
              </w:pBdr>
              <w:spacing w:lineRule="auto" w:line="240" w:before="0" w:after="60"/>
              <w:jc w:val="both"/>
              <w:rPr>
                <w:rFonts w:ascii="Trebuchet MS" w:hAnsi="Trebuchet MS" w:eastAsia="Trebuchet MS" w:cs="Trebuchet MS"/>
                <w:b/>
                <w:sz w:val="10"/>
                <w:szCs w:val="10"/>
              </w:rPr>
            </w:pPr>
            <w:r>
              <w:rPr>
                <w:rFonts w:eastAsia="Trebuchet MS" w:cs="Trebuchet MS" w:ascii="Trebuchet MS" w:hAnsi="Trebuchet MS"/>
                <w:b/>
                <w:sz w:val="10"/>
                <w:szCs w:val="10"/>
              </w:rPr>
            </w:r>
          </w:p>
          <w:p>
            <w:pPr>
              <w:pStyle w:val="LO-normal"/>
              <w:numPr>
                <w:ilvl w:val="0"/>
                <w:numId w:val="2"/>
              </w:numPr>
              <w:ind w:hanging="360" w:left="720" w:right="0"/>
              <w:rPr/>
            </w:pPr>
            <w:r>
              <w:rPr>
                <w:rFonts w:eastAsia="Trebuchet MS" w:cs="Trebuchet MS" w:ascii="Trebuchet MS" w:hAnsi="Trebuchet MS"/>
                <w:sz w:val="22"/>
                <w:szCs w:val="22"/>
              </w:rPr>
              <w:t>Establish fair, respectful, trusting, supportive and constructive relationships with young people.</w:t>
            </w:r>
          </w:p>
          <w:p>
            <w:pPr>
              <w:pStyle w:val="LO-normal"/>
              <w:numPr>
                <w:ilvl w:val="0"/>
                <w:numId w:val="2"/>
              </w:numPr>
              <w:ind w:hanging="360" w:left="720" w:right="0"/>
              <w:rPr/>
            </w:pPr>
            <w:r>
              <w:rPr>
                <w:rFonts w:eastAsia="Trebuchet MS" w:cs="Trebuchet MS" w:ascii="Trebuchet MS" w:hAnsi="Trebuchet MS"/>
                <w:sz w:val="22"/>
                <w:szCs w:val="22"/>
              </w:rPr>
              <w:t>Demonstrate the WISDOM qualities, positive values, attitudes and behaviour expected from learners.</w:t>
            </w:r>
          </w:p>
          <w:p>
            <w:pPr>
              <w:pStyle w:val="LO-normal"/>
              <w:numPr>
                <w:ilvl w:val="0"/>
                <w:numId w:val="2"/>
              </w:numPr>
              <w:ind w:hanging="360" w:left="720" w:right="0"/>
              <w:rPr/>
            </w:pPr>
            <w:r>
              <w:rPr>
                <w:rFonts w:eastAsia="Trebuchet MS" w:cs="Trebuchet MS" w:ascii="Trebuchet MS" w:hAnsi="Trebuchet MS"/>
                <w:sz w:val="22"/>
                <w:szCs w:val="22"/>
              </w:rPr>
              <w:t>Be aware of and comply with policies and procedures relating to child protection, health and safety, security and confidentially, reporting all concerns to an appropriate person.</w:t>
            </w:r>
          </w:p>
          <w:p>
            <w:pPr>
              <w:pStyle w:val="LO-normal"/>
              <w:numPr>
                <w:ilvl w:val="0"/>
                <w:numId w:val="2"/>
              </w:numPr>
              <w:ind w:hanging="360" w:left="720" w:right="0"/>
              <w:rPr/>
            </w:pPr>
            <w:r>
              <w:rPr>
                <w:rFonts w:eastAsia="Trebuchet MS" w:cs="Trebuchet MS" w:ascii="Trebuchet MS" w:hAnsi="Trebuchet MS"/>
                <w:sz w:val="22"/>
                <w:szCs w:val="22"/>
              </w:rPr>
              <w:t>Be aware of and support differences and ensure all learners have equal access to opportunities to learn and develop. Recognise and respond appropriately to situations that challenge equality of opportunity.</w:t>
            </w:r>
          </w:p>
          <w:p>
            <w:pPr>
              <w:pStyle w:val="LO-normal"/>
              <w:numPr>
                <w:ilvl w:val="0"/>
                <w:numId w:val="2"/>
              </w:numPr>
              <w:ind w:hanging="360" w:left="720" w:right="0"/>
              <w:rPr/>
            </w:pPr>
            <w:r>
              <w:rPr>
                <w:rFonts w:eastAsia="Trebuchet MS" w:cs="Trebuchet MS" w:ascii="Trebuchet MS" w:hAnsi="Trebuchet MS"/>
                <w:sz w:val="22"/>
                <w:szCs w:val="22"/>
              </w:rPr>
              <w:t>Contribute to the overall ethos/work/aims of the school.</w:t>
            </w:r>
          </w:p>
          <w:p>
            <w:pPr>
              <w:pStyle w:val="LO-normal"/>
              <w:numPr>
                <w:ilvl w:val="0"/>
                <w:numId w:val="2"/>
              </w:numPr>
              <w:ind w:hanging="360" w:left="720" w:right="0"/>
              <w:rPr/>
            </w:pPr>
            <w:r>
              <w:rPr>
                <w:rFonts w:eastAsia="Trebuchet MS" w:cs="Trebuchet MS" w:ascii="Trebuchet MS" w:hAnsi="Trebuchet MS"/>
                <w:sz w:val="22"/>
                <w:szCs w:val="22"/>
              </w:rPr>
              <w:t>Recognise and respect the contribution that parents and carers can make to the development and well-being of children and young people.</w:t>
            </w:r>
          </w:p>
          <w:p>
            <w:pPr>
              <w:pStyle w:val="LO-normal"/>
              <w:numPr>
                <w:ilvl w:val="0"/>
                <w:numId w:val="2"/>
              </w:numPr>
              <w:ind w:hanging="360" w:left="720" w:right="0"/>
              <w:rPr/>
            </w:pPr>
            <w:r>
              <w:rPr>
                <w:rFonts w:eastAsia="Trebuchet MS" w:cs="Trebuchet MS" w:ascii="Trebuchet MS" w:hAnsi="Trebuchet MS"/>
                <w:sz w:val="22"/>
                <w:szCs w:val="22"/>
              </w:rPr>
              <w:t>Demonstrate a commitment to collaborative and cooperative working with colleagues.</w:t>
            </w:r>
          </w:p>
          <w:p>
            <w:pPr>
              <w:pStyle w:val="LO-normal"/>
              <w:numPr>
                <w:ilvl w:val="0"/>
                <w:numId w:val="2"/>
              </w:numPr>
              <w:ind w:hanging="360" w:left="720" w:right="0"/>
              <w:rPr/>
            </w:pPr>
            <w:r>
              <w:rPr>
                <w:rFonts w:eastAsia="Trebuchet MS" w:cs="Trebuchet MS" w:ascii="Trebuchet MS" w:hAnsi="Trebuchet MS"/>
                <w:sz w:val="22"/>
                <w:szCs w:val="22"/>
              </w:rPr>
              <w:t>Improve own knowledge and practice including responding to advice and feedback.</w:t>
            </w:r>
          </w:p>
          <w:p>
            <w:pPr>
              <w:pStyle w:val="LO-normal"/>
              <w:numPr>
                <w:ilvl w:val="0"/>
                <w:numId w:val="2"/>
              </w:numPr>
              <w:ind w:hanging="360" w:left="720" w:right="0"/>
              <w:rPr/>
            </w:pPr>
            <w:r>
              <w:rPr>
                <w:rFonts w:eastAsia="Trebuchet MS" w:cs="Trebuchet MS" w:ascii="Trebuchet MS" w:hAnsi="Trebuchet MS"/>
                <w:sz w:val="22"/>
                <w:szCs w:val="22"/>
              </w:rPr>
              <w:t>Lead extra-curricular activities to further excel the progress of</w:t>
            </w:r>
            <w:r>
              <w:rPr>
                <w:rFonts w:eastAsia="Trebuchet MS" w:cs="Trebuchet MS" w:ascii="Trebuchet MS" w:hAnsi="Trebuchet MS"/>
                <w:color w:val="000000"/>
                <w:sz w:val="22"/>
                <w:szCs w:val="22"/>
              </w:rPr>
              <w:t xml:space="preserve"> learners with </w:t>
            </w:r>
            <w:r>
              <w:rPr>
                <w:rFonts w:eastAsia="Trebuchet MS" w:cs="Trebuchet MS" w:ascii="Trebuchet MS" w:hAnsi="Trebuchet MS"/>
                <w:sz w:val="22"/>
                <w:szCs w:val="22"/>
              </w:rPr>
              <w:t>additional needs both academically and socially.</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Management Responsibilities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numPr>
                <w:ilvl w:val="0"/>
                <w:numId w:val="2"/>
              </w:numPr>
              <w:ind w:hanging="360" w:left="720" w:right="0"/>
              <w:jc w:val="both"/>
              <w:rPr/>
            </w:pPr>
            <w:r>
              <w:rPr>
                <w:rFonts w:eastAsia="Trebuchet MS" w:cs="Trebuchet MS" w:ascii="Trebuchet MS" w:hAnsi="Trebuchet MS"/>
                <w:sz w:val="22"/>
                <w:szCs w:val="22"/>
              </w:rPr>
              <w:t>Use your expertise to provide leadership within the START Network team.</w:t>
            </w:r>
          </w:p>
          <w:p>
            <w:pPr>
              <w:pStyle w:val="LO-normal"/>
              <w:numPr>
                <w:ilvl w:val="0"/>
                <w:numId w:val="2"/>
              </w:numPr>
              <w:ind w:hanging="360" w:left="720" w:right="0"/>
              <w:jc w:val="both"/>
              <w:rPr/>
            </w:pPr>
            <w:r>
              <w:rPr>
                <w:rFonts w:eastAsia="Trebuchet MS" w:cs="Trebuchet MS" w:ascii="Trebuchet MS" w:hAnsi="Trebuchet MS"/>
                <w:sz w:val="22"/>
                <w:szCs w:val="22"/>
              </w:rPr>
              <w:t xml:space="preserve">Plan how the inclusion of </w:t>
            </w:r>
            <w:r>
              <w:rPr>
                <w:rFonts w:eastAsia="Trebuchet MS" w:cs="Trebuchet MS" w:ascii="Trebuchet MS" w:hAnsi="Trebuchet MS"/>
                <w:color w:val="000000"/>
                <w:sz w:val="22"/>
                <w:szCs w:val="22"/>
              </w:rPr>
              <w:t xml:space="preserve">learners with </w:t>
            </w:r>
            <w:r>
              <w:rPr>
                <w:rFonts w:eastAsia="Trebuchet MS" w:cs="Trebuchet MS" w:ascii="Trebuchet MS" w:hAnsi="Trebuchet MS"/>
                <w:sz w:val="22"/>
                <w:szCs w:val="22"/>
              </w:rPr>
              <w:t>additional needs in learning activities will be supported.</w:t>
            </w:r>
          </w:p>
          <w:p>
            <w:pPr>
              <w:pStyle w:val="LO-normal"/>
              <w:numPr>
                <w:ilvl w:val="0"/>
                <w:numId w:val="2"/>
              </w:numPr>
              <w:ind w:hanging="360" w:left="720" w:right="0"/>
              <w:jc w:val="both"/>
              <w:rPr/>
            </w:pPr>
            <w:r>
              <w:rPr>
                <w:rFonts w:eastAsia="Trebuchet MS" w:cs="Trebuchet MS" w:ascii="Trebuchet MS" w:hAnsi="Trebuchet MS"/>
                <w:sz w:val="22"/>
                <w:szCs w:val="22"/>
              </w:rPr>
              <w:t>Support the direction of work of other support staff within the START Network team.</w:t>
            </w:r>
          </w:p>
          <w:p>
            <w:pPr>
              <w:pStyle w:val="LO-normal"/>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80"/>
              <w:rPr>
                <w:rFonts w:ascii="Trebuchet MS" w:hAnsi="Trebuchet MS" w:eastAsia="Trebuchet MS" w:cs="Trebuchet MS"/>
                <w:sz w:val="22"/>
                <w:szCs w:val="22"/>
              </w:rPr>
            </w:pPr>
            <w:r>
              <w:rPr>
                <w:rFonts w:eastAsia="Trebuchet MS" w:cs="Trebuchet MS" w:ascii="Trebuchet MS" w:hAnsi="Trebuchet MS"/>
                <w:sz w:val="22"/>
                <w:szCs w:val="22"/>
              </w:rPr>
              <w:t xml:space="preserve">The post-holder will also be expected: </w:t>
            </w:r>
          </w:p>
          <w:p>
            <w:pPr>
              <w:pStyle w:val="LO-normal"/>
              <w:numPr>
                <w:ilvl w:val="0"/>
                <w:numId w:val="4"/>
              </w:numPr>
              <w:pBdr/>
              <w:spacing w:lineRule="auto" w:line="240" w:before="0" w:after="80"/>
              <w:ind w:hanging="357" w:left="714" w:right="0"/>
              <w:jc w:val="both"/>
              <w:rPr/>
            </w:pPr>
            <w:r>
              <w:rPr>
                <w:rFonts w:eastAsia="Trebuchet MS" w:cs="Trebuchet MS" w:ascii="Trebuchet MS" w:hAnsi="Trebuchet MS"/>
                <w:color w:val="000000"/>
                <w:sz w:val="22"/>
                <w:szCs w:val="22"/>
              </w:rPr>
              <w:t>To set a high standard of personal conduct and commitment to Customer Service.</w:t>
            </w:r>
          </w:p>
          <w:p>
            <w:pPr>
              <w:pStyle w:val="LO-normal"/>
              <w:numPr>
                <w:ilvl w:val="0"/>
                <w:numId w:val="4"/>
              </w:numPr>
              <w:spacing w:lineRule="auto" w:line="240" w:before="0" w:after="80"/>
              <w:ind w:hanging="357" w:left="714" w:right="0"/>
              <w:jc w:val="both"/>
              <w:rPr/>
            </w:pPr>
            <w:r>
              <w:rPr>
                <w:rFonts w:eastAsia="Trebuchet MS" w:cs="Trebuchet MS" w:ascii="Trebuchet MS" w:hAnsi="Trebuchet MS"/>
                <w:sz w:val="22"/>
                <w:szCs w:val="22"/>
              </w:rPr>
              <w:t>To dress and act at all times as an example to the learners within the school and to create a professional image.</w:t>
            </w:r>
          </w:p>
          <w:p>
            <w:pPr>
              <w:pStyle w:val="LO-normal"/>
              <w:numPr>
                <w:ilvl w:val="0"/>
                <w:numId w:val="4"/>
              </w:numPr>
              <w:spacing w:lineRule="auto" w:line="240" w:before="0" w:after="80"/>
              <w:ind w:hanging="357" w:left="714" w:right="0"/>
              <w:jc w:val="both"/>
              <w:rPr/>
            </w:pPr>
            <w:r>
              <w:rPr>
                <w:rFonts w:eastAsia="Trebuchet MS" w:cs="Trebuchet MS" w:ascii="Trebuchet MS" w:hAnsi="Trebuchet MS"/>
                <w:sz w:val="22"/>
                <w:szCs w:val="22"/>
              </w:rPr>
              <w:t>To comply with all school policies and procedures.</w:t>
            </w:r>
          </w:p>
          <w:p>
            <w:pPr>
              <w:pStyle w:val="LO-normal"/>
              <w:spacing w:lineRule="auto" w:line="240" w:before="0" w:after="8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80"/>
              <w:jc w:val="both"/>
              <w:rPr>
                <w:rFonts w:ascii="Trebuchet MS" w:hAnsi="Trebuchet MS" w:eastAsia="Trebuchet MS" w:cs="Trebuchet MS"/>
                <w:b/>
                <w:sz w:val="22"/>
                <w:szCs w:val="22"/>
              </w:rPr>
            </w:pPr>
            <w:r>
              <w:rPr>
                <w:rFonts w:eastAsia="Trebuchet MS" w:cs="Trebuchet MS" w:ascii="Trebuchet MS" w:hAnsi="Trebuchet MS"/>
                <w:b/>
                <w:sz w:val="22"/>
                <w:szCs w:val="22"/>
              </w:rPr>
              <w:t>The above requirements are intended as a basic outline. The post holder may reasonably be expected to undertake other duties commensurate with the level of responsibility that may be allocated from time to time.</w:t>
            </w:r>
          </w:p>
          <w:p>
            <w:pPr>
              <w:pStyle w:val="LO-normal"/>
              <w:spacing w:lineRule="auto" w:line="240" w:before="0" w:after="8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The post holder may reasonably be expected to undertake any other duties as and when required that are commensurate within the grade and job title of the post.</w:t>
            </w:r>
          </w:p>
          <w:p>
            <w:pPr>
              <w:pStyle w:val="LO-normal"/>
              <w:spacing w:lineRule="auto" w:line="240" w:before="0" w:after="120"/>
              <w:rPr>
                <w:rFonts w:ascii="Trebuchet MS" w:hAnsi="Trebuchet MS" w:eastAsia="Trebuchet MS" w:cs="Trebuchet MS"/>
                <w:b/>
                <w:sz w:val="22"/>
                <w:szCs w:val="22"/>
              </w:rPr>
            </w:pPr>
            <w:r>
              <w:rPr>
                <w:rFonts w:eastAsia="Trebuchet MS" w:cs="Trebuchet MS" w:ascii="Trebuchet MS" w:hAnsi="Trebuchet MS"/>
                <w:b/>
                <w:sz w:val="22"/>
                <w:szCs w:val="22"/>
              </w:rPr>
            </w:r>
          </w:p>
          <w:p>
            <w:pPr>
              <w:pStyle w:val="LO-normal"/>
              <w:spacing w:lineRule="auto" w:line="240" w:before="0" w:after="120"/>
              <w:rPr>
                <w:rFonts w:ascii="Trebuchet MS" w:hAnsi="Trebuchet MS" w:eastAsia="Trebuchet MS" w:cs="Trebuchet MS"/>
                <w:b/>
                <w:sz w:val="22"/>
                <w:szCs w:val="22"/>
              </w:rPr>
            </w:pPr>
            <w:r>
              <w:rPr>
                <w:rFonts w:eastAsia="Trebuchet MS" w:cs="Trebuchet MS" w:ascii="Trebuchet MS" w:hAnsi="Trebuchet MS"/>
                <w:b/>
                <w:sz w:val="22"/>
                <w:szCs w:val="22"/>
              </w:rPr>
              <w:t>Date Job Description updated :</w:t>
              <w:tab/>
              <w:tab/>
              <w:tab/>
              <w:t>June 2025</w:t>
            </w:r>
          </w:p>
          <w:p>
            <w:pPr>
              <w:pStyle w:val="LO-normal"/>
              <w:spacing w:lineRule="auto" w:line="240" w:before="0" w:after="120"/>
              <w:rPr>
                <w:rFonts w:ascii="Trebuchet MS" w:hAnsi="Trebuchet MS" w:eastAsia="Trebuchet MS" w:cs="Trebuchet MS"/>
                <w:b/>
                <w:sz w:val="22"/>
                <w:szCs w:val="22"/>
              </w:rPr>
            </w:pPr>
            <w:r>
              <w:rPr>
                <w:rFonts w:eastAsia="Trebuchet MS" w:cs="Trebuchet MS" w:ascii="Trebuchet MS" w:hAnsi="Trebuchet MS"/>
                <w:b/>
                <w:sz w:val="22"/>
                <w:szCs w:val="22"/>
              </w:rPr>
              <w:t>Job Description prepared by :</w:t>
              <w:tab/>
              <w:tab/>
              <w:tab/>
              <w:t>Gaynor Chesterfield/Victoria Halliwell</w:t>
            </w:r>
          </w:p>
        </w:tc>
      </w:tr>
    </w:tbl>
    <w:p>
      <w:pPr>
        <w:sectPr>
          <w:footerReference w:type="default" r:id="rId3"/>
          <w:type w:val="nextPage"/>
          <w:pgSz w:w="11906" w:h="16838"/>
          <w:pgMar w:left="1077" w:right="1077" w:gutter="0" w:header="0" w:top="1134" w:footer="567" w:bottom="1134"/>
          <w:pgNumType w:start="1" w:fmt="decimal"/>
          <w:formProt w:val="false"/>
          <w:textDirection w:val="lrTb"/>
          <w:docGrid w:type="default" w:linePitch="100" w:charSpace="0"/>
        </w:sectPr>
      </w:pPr>
    </w:p>
    <w:p>
      <w:pPr>
        <w:pStyle w:val="LO-normal"/>
        <w:rPr/>
      </w:pPr>
      <w:r>
        <w:rPr/>
        <w:drawing>
          <wp:anchor behindDoc="0" distT="0" distB="0" distL="114935" distR="114935" simplePos="0" locked="0" layoutInCell="1" allowOverlap="1" relativeHeight="3">
            <wp:simplePos x="0" y="0"/>
            <wp:positionH relativeFrom="column">
              <wp:posOffset>5114925</wp:posOffset>
            </wp:positionH>
            <wp:positionV relativeFrom="paragraph">
              <wp:posOffset>-354330</wp:posOffset>
            </wp:positionV>
            <wp:extent cx="1115695" cy="1069340"/>
            <wp:effectExtent l="0" t="0" r="0" b="0"/>
            <wp:wrapNone/>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4"/>
                    <a:srcRect l="-30" t="-32" r="-30" b="-32"/>
                    <a:stretch>
                      <a:fillRect/>
                    </a:stretch>
                  </pic:blipFill>
                  <pic:spPr bwMode="auto">
                    <a:xfrm>
                      <a:off x="0" y="0"/>
                      <a:ext cx="1115695" cy="1069340"/>
                    </a:xfrm>
                    <a:prstGeom prst="rect">
                      <a:avLst/>
                    </a:prstGeom>
                  </pic:spPr>
                </pic:pic>
              </a:graphicData>
            </a:graphic>
          </wp:anchor>
        </w:drawing>
      </w:r>
    </w:p>
    <w:p>
      <w:pPr>
        <w:pStyle w:val="LO-normal"/>
        <w:rPr/>
      </w:pPr>
      <w:r>
        <w:rPr/>
        <w:t>PERSON SPECIFICATION</w:t>
      </w:r>
    </w:p>
    <w:tbl>
      <w:tblPr>
        <w:tblW w:w="9819" w:type="dxa"/>
        <w:jc w:val="left"/>
        <w:tblInd w:w="-7" w:type="dxa"/>
        <w:tblLayout w:type="fixed"/>
        <w:tblCellMar>
          <w:top w:w="0" w:type="dxa"/>
          <w:left w:w="108" w:type="dxa"/>
          <w:bottom w:w="0" w:type="dxa"/>
          <w:right w:w="108" w:type="dxa"/>
        </w:tblCellMar>
      </w:tblPr>
      <w:tblGrid>
        <w:gridCol w:w="1668"/>
        <w:gridCol w:w="6"/>
        <w:gridCol w:w="8145"/>
      </w:tblGrid>
      <w:tr>
        <w:trPr/>
        <w:tc>
          <w:tcPr>
            <w:tcW w:w="1674" w:type="dxa"/>
            <w:gridSpan w:val="2"/>
            <w:tcBorders/>
          </w:tcPr>
          <w:p>
            <w:pPr>
              <w:pStyle w:val="LO-normal"/>
              <w:rPr>
                <w:rFonts w:ascii="Trebuchet MS" w:hAnsi="Trebuchet MS" w:eastAsia="Trebuchet MS" w:cs="Trebuchet MS"/>
                <w:b/>
              </w:rPr>
            </w:pPr>
            <w:r>
              <w:rPr>
                <w:rFonts w:eastAsia="Trebuchet MS" w:cs="Trebuchet MS" w:ascii="Trebuchet MS" w:hAnsi="Trebuchet MS"/>
                <w:b/>
              </w:rPr>
              <w:t>Job Title :</w:t>
            </w:r>
          </w:p>
        </w:tc>
        <w:tc>
          <w:tcPr>
            <w:tcW w:w="8145" w:type="dxa"/>
            <w:tcBorders/>
          </w:tcPr>
          <w:p>
            <w:pPr>
              <w:pStyle w:val="LO-normal"/>
              <w:rPr>
                <w:rFonts w:ascii="Trebuchet MS" w:hAnsi="Trebuchet MS" w:eastAsia="Trebuchet MS" w:cs="Trebuchet MS"/>
                <w:b/>
                <w:smallCaps/>
              </w:rPr>
            </w:pPr>
            <w:r>
              <w:rPr>
                <w:rFonts w:eastAsia="Trebuchet MS" w:cs="Trebuchet MS" w:ascii="Trebuchet MS" w:hAnsi="Trebuchet MS"/>
                <w:b/>
                <w:smallCaps/>
              </w:rPr>
              <w:t>HLTA FOR EAL</w:t>
            </w:r>
          </w:p>
          <w:p>
            <w:pPr>
              <w:pStyle w:val="LO-normal"/>
              <w:rPr>
                <w:rFonts w:ascii="Trebuchet MS" w:hAnsi="Trebuchet MS" w:eastAsia="Trebuchet MS" w:cs="Trebuchet MS"/>
                <w:b/>
                <w:smallCaps/>
              </w:rPr>
            </w:pPr>
            <w:r>
              <w:rPr>
                <w:rFonts w:eastAsia="Trebuchet MS" w:cs="Trebuchet MS" w:ascii="Trebuchet MS" w:hAnsi="Trebuchet MS"/>
                <w:b/>
                <w:smallCaps/>
              </w:rPr>
            </w:r>
          </w:p>
        </w:tc>
      </w:tr>
      <w:tr>
        <w:trPr/>
        <w:tc>
          <w:tcPr>
            <w:tcW w:w="1668" w:type="dxa"/>
            <w:tcBorders/>
          </w:tcPr>
          <w:p>
            <w:pPr>
              <w:pStyle w:val="LO-normal"/>
              <w:spacing w:lineRule="auto" w:line="240" w:before="60" w:after="60"/>
              <w:rPr>
                <w:rFonts w:ascii="Trebuchet MS" w:hAnsi="Trebuchet MS" w:eastAsia="Trebuchet MS" w:cs="Trebuchet MS"/>
                <w:b/>
                <w:sz w:val="22"/>
                <w:szCs w:val="22"/>
              </w:rPr>
            </w:pPr>
            <w:r>
              <w:rPr>
                <w:rFonts w:eastAsia="Trebuchet MS" w:cs="Trebuchet MS" w:ascii="Trebuchet MS" w:hAnsi="Trebuchet MS"/>
                <w:b/>
                <w:sz w:val="22"/>
                <w:szCs w:val="22"/>
              </w:rPr>
              <w:t>STAGE ONE</w:t>
            </w:r>
          </w:p>
        </w:tc>
        <w:tc>
          <w:tcPr>
            <w:tcW w:w="8151" w:type="dxa"/>
            <w:gridSpan w:val="2"/>
            <w:tcBorders/>
          </w:tcPr>
          <w:p>
            <w:pPr>
              <w:pStyle w:val="LO-normal"/>
              <w:spacing w:lineRule="auto" w:line="240" w:before="60" w:after="60"/>
              <w:rPr>
                <w:rFonts w:ascii="Trebuchet MS" w:hAnsi="Trebuchet MS" w:eastAsia="Trebuchet MS" w:cs="Trebuchet MS"/>
                <w:sz w:val="20"/>
                <w:szCs w:val="20"/>
              </w:rPr>
            </w:pPr>
            <w:r>
              <w:rPr>
                <w:rFonts w:eastAsia="Trebuchet MS" w:cs="Trebuchet MS" w:ascii="Trebuchet MS" w:hAnsi="Trebuchet MS"/>
                <w:sz w:val="20"/>
                <w:szCs w:val="20"/>
              </w:rPr>
              <w:t>Disabled Candidates are guaranteed an interview if they meet the essential criteria</w:t>
            </w:r>
          </w:p>
        </w:tc>
      </w:tr>
    </w:tbl>
    <w:p>
      <w:pPr>
        <w:pStyle w:val="LO-normal"/>
        <w:rPr>
          <w:rFonts w:ascii="Trebuchet MS" w:hAnsi="Trebuchet MS" w:eastAsia="Trebuchet MS" w:cs="Trebuchet MS"/>
          <w:sz w:val="20"/>
          <w:szCs w:val="20"/>
        </w:rPr>
      </w:pPr>
      <w:r>
        <w:rPr>
          <w:rFonts w:eastAsia="Trebuchet MS" w:cs="Trebuchet MS" w:ascii="Trebuchet MS" w:hAnsi="Trebuchet MS"/>
          <w:sz w:val="20"/>
          <w:szCs w:val="20"/>
        </w:rPr>
      </w:r>
    </w:p>
    <w:tbl>
      <w:tblPr>
        <w:tblW w:w="10173" w:type="dxa"/>
        <w:jc w:val="left"/>
        <w:tblInd w:w="-7" w:type="dxa"/>
        <w:tblLayout w:type="fixed"/>
        <w:tblCellMar>
          <w:top w:w="0" w:type="dxa"/>
          <w:left w:w="108" w:type="dxa"/>
          <w:bottom w:w="0" w:type="dxa"/>
          <w:right w:w="108" w:type="dxa"/>
        </w:tblCellMar>
      </w:tblPr>
      <w:tblGrid>
        <w:gridCol w:w="573"/>
        <w:gridCol w:w="103"/>
        <w:gridCol w:w="6237"/>
        <w:gridCol w:w="3260"/>
      </w:tblGrid>
      <w:tr>
        <w:trPr>
          <w:tblHeader w:val="true"/>
          <w:cantSplit w:val="true"/>
        </w:trPr>
        <w:tc>
          <w:tcPr>
            <w:tcW w:w="6913" w:type="dxa"/>
            <w:gridSpan w:val="3"/>
            <w:tcBorders>
              <w:top w:val="single" w:sz="4" w:space="0" w:color="000000"/>
              <w:left w:val="single" w:sz="4" w:space="0" w:color="000000"/>
              <w:bottom w:val="single" w:sz="4" w:space="0" w:color="000000"/>
              <w:right w:val="single" w:sz="4" w:space="0" w:color="000000"/>
            </w:tcBorders>
            <w:shd w:fill="C0C0C0" w:val="clear"/>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MINIMUM ESSENTIAL REQUIREMENTS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top w:val="single" w:sz="4" w:space="0" w:color="000000"/>
              <w:left w:val="single" w:sz="4" w:space="0" w:color="000000"/>
              <w:bottom w:val="single" w:sz="4" w:space="0" w:color="000000"/>
              <w:right w:val="single" w:sz="4" w:space="0" w:color="000000"/>
            </w:tcBorders>
            <w:shd w:fill="C0C0C0" w:val="clear"/>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METHOD OF ASSESSMENT</w:t>
            </w:r>
          </w:p>
        </w:tc>
      </w:tr>
      <w:tr>
        <w:trPr>
          <w:trHeight w:val="397" w:hRule="atLeast"/>
          <w:cantSplit w:val="true"/>
        </w:trPr>
        <w:tc>
          <w:tcPr>
            <w:tcW w:w="6913" w:type="dxa"/>
            <w:gridSpan w:val="3"/>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SKILLS AND COMPETENCY</w:t>
            </w:r>
          </w:p>
        </w:tc>
        <w:tc>
          <w:tcPr>
            <w:tcW w:w="3260"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676" w:type="dxa"/>
            <w:gridSpan w:val="2"/>
            <w:tcBorders>
              <w:top w:val="single" w:sz="4" w:space="0" w:color="000000"/>
              <w:left w:val="single" w:sz="4" w:space="0" w:color="000000"/>
              <w:right w:val="single" w:sz="4" w:space="0" w:color="000000"/>
            </w:tcBorders>
          </w:tcPr>
          <w:p>
            <w:pPr>
              <w:pStyle w:val="LO-normal"/>
              <w:snapToGrid w:val="false"/>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w:t>
            </w:r>
          </w:p>
        </w:tc>
        <w:tc>
          <w:tcPr>
            <w:tcW w:w="6237" w:type="dxa"/>
            <w:tcBorders>
              <w:top w:val="single" w:sz="4" w:space="0" w:color="000000"/>
              <w:left w:val="single" w:sz="4" w:space="0" w:color="000000"/>
              <w:right w:val="single" w:sz="4" w:space="0" w:color="000000"/>
            </w:tcBorders>
          </w:tcPr>
          <w:p>
            <w:pPr>
              <w:pStyle w:val="LO-normal"/>
              <w:snapToGrid w:val="false"/>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Ability to plan, monitor, support and deliver teaching and learning activities in the classroom and targeted interventions to small groups</w:t>
            </w:r>
          </w:p>
        </w:tc>
        <w:tc>
          <w:tcPr>
            <w:tcW w:w="3260" w:type="dxa"/>
            <w:tcBorders>
              <w:top w:val="single" w:sz="4" w:space="0" w:color="000000"/>
              <w:left w:val="single" w:sz="4" w:space="0" w:color="000000"/>
              <w:right w:val="single" w:sz="4" w:space="0" w:color="000000"/>
            </w:tcBorders>
          </w:tcPr>
          <w:p>
            <w:pPr>
              <w:pStyle w:val="LO-normal"/>
              <w:snapToGrid w:val="false"/>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Observation</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2.</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 xml:space="preserve">Ability to set and promote high standards of behaviour and handle potentially difficult situations </w:t>
            </w:r>
          </w:p>
        </w:tc>
        <w:tc>
          <w:tcPr>
            <w:tcW w:w="3260"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 xml:space="preserve">Interview </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3.</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engage children and young people and increase participation in activities through appropriate differentiation, taking into account diverse and individual needs of learners</w:t>
            </w:r>
          </w:p>
        </w:tc>
        <w:tc>
          <w:tcPr>
            <w:tcW w:w="3260"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4.</w:t>
            </w:r>
          </w:p>
        </w:tc>
        <w:tc>
          <w:tcPr>
            <w:tcW w:w="6237"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Ability to model and demonstrate positive attitudes and behaviours and to utilise a range of activities to practise and reinforce social and emotional skills</w:t>
            </w:r>
          </w:p>
        </w:tc>
        <w:tc>
          <w:tcPr>
            <w:tcW w:w="3260"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Interview/Observation</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5.</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adapt communication styles to needs and situations, and to establish effective communication processes with teachers, colleagues, parents and carers</w:t>
            </w:r>
          </w:p>
        </w:tc>
        <w:tc>
          <w:tcPr>
            <w:tcW w:w="3260"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6.</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engage parents and carers and maximise their involvement in meeting children’s needs in relation to attainment, well-being or personal development</w:t>
            </w:r>
          </w:p>
        </w:tc>
        <w:tc>
          <w:tcPr>
            <w:tcW w:w="3260"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7.</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work effectively as part of a team, supporting colleagues and professionals from external agencies</w:t>
            </w:r>
          </w:p>
        </w:tc>
        <w:tc>
          <w:tcPr>
            <w:tcW w:w="3260"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8.</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reflect on own performance, agree development needs and evaluate learning achieved, as well as plan and evaluate improvement of knowledge in area of expertise</w:t>
            </w:r>
          </w:p>
        </w:tc>
        <w:tc>
          <w:tcPr>
            <w:tcW w:w="3260"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9.</w:t>
            </w:r>
          </w:p>
        </w:tc>
        <w:tc>
          <w:tcPr>
            <w:tcW w:w="6237" w:type="dxa"/>
            <w:tcBorders>
              <w:left w:val="single" w:sz="4" w:space="0" w:color="000000"/>
              <w:right w:val="single" w:sz="4" w:space="0" w:color="000000"/>
            </w:tcBorders>
          </w:tcPr>
          <w:p>
            <w:pPr>
              <w:pStyle w:val="LO-normal"/>
              <w:spacing w:lineRule="auto" w:line="240" w:before="0" w:after="60"/>
              <w:jc w:val="both"/>
              <w:rPr>
                <w:rFonts w:ascii="Trebuchet MS" w:hAnsi="Trebuchet MS" w:eastAsia="Trebuchet MS" w:cs="Trebuchet MS"/>
                <w:sz w:val="22"/>
                <w:szCs w:val="22"/>
              </w:rPr>
            </w:pPr>
            <w:r>
              <w:rPr>
                <w:rFonts w:eastAsia="Trebuchet MS" w:cs="Trebuchet MS" w:ascii="Trebuchet MS" w:hAnsi="Trebuchet MS"/>
                <w:sz w:val="22"/>
                <w:szCs w:val="22"/>
              </w:rPr>
              <w:t>Ability to reflect learners’ age and developmental needs in selecting and supporting planning and the design of teaching strategies and materials and review materials according to progress</w:t>
            </w:r>
          </w:p>
        </w:tc>
        <w:tc>
          <w:tcPr>
            <w:tcW w:w="3260"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10.</w:t>
            </w:r>
          </w:p>
        </w:tc>
        <w:tc>
          <w:tcPr>
            <w:tcW w:w="6237"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Ability to provide appropriate/graduated methods of support for children and young people with EAL and/or SEND</w:t>
            </w:r>
          </w:p>
        </w:tc>
        <w:tc>
          <w:tcPr>
            <w:tcW w:w="3260" w:type="dxa"/>
            <w:tcBorders>
              <w:left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11.</w:t>
            </w:r>
          </w:p>
        </w:tc>
        <w:tc>
          <w:tcPr>
            <w:tcW w:w="6237" w:type="dxa"/>
            <w:tcBorders>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 xml:space="preserve">Ability to provide clear and constructive feedback </w:t>
            </w:r>
          </w:p>
        </w:tc>
        <w:tc>
          <w:tcPr>
            <w:tcW w:w="3260" w:type="dxa"/>
            <w:tcBorders>
              <w:left w:val="single" w:sz="4" w:space="0" w:color="000000"/>
              <w:right w:val="single" w:sz="4" w:space="0" w:color="000000"/>
            </w:tcBorders>
          </w:tcPr>
          <w:p>
            <w:pPr>
              <w:pStyle w:val="LO-normal"/>
              <w:jc w:val="both"/>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c>
          <w:tcPr>
            <w:tcW w:w="676" w:type="dxa"/>
            <w:gridSpan w:val="2"/>
            <w:tcBorders>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12.</w:t>
            </w:r>
          </w:p>
        </w:tc>
        <w:tc>
          <w:tcPr>
            <w:tcW w:w="6237" w:type="dxa"/>
            <w:tcBorders>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Ability to take action to ensure safe and proper use of resources and to intervene where necessary to ensure safe learning</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jc w:val="both"/>
              <w:rPr>
                <w:rFonts w:ascii="Trebuchet MS" w:hAnsi="Trebuchet MS" w:eastAsia="Trebuchet MS" w:cs="Trebuchet MS"/>
                <w:b/>
                <w:sz w:val="22"/>
                <w:szCs w:val="22"/>
              </w:rPr>
            </w:pPr>
            <w:r>
              <w:rPr>
                <w:rFonts w:eastAsia="Trebuchet MS" w:cs="Trebuchet MS" w:ascii="Trebuchet MS" w:hAnsi="Trebuchet MS"/>
                <w:b/>
                <w:sz w:val="22"/>
                <w:szCs w:val="22"/>
              </w:rPr>
              <w:t>Competencies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Please note the school’s competencies, which are considered to be essential for all roles, are in the attached Core Competencies document.</w:t>
            </w:r>
          </w:p>
        </w:tc>
        <w:tc>
          <w:tcPr>
            <w:tcW w:w="3260" w:type="dxa"/>
            <w:tcBorders>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w:t>
            </w:r>
          </w:p>
        </w:tc>
      </w:tr>
      <w:tr>
        <w:trPr/>
        <w:tc>
          <w:tcPr>
            <w:tcW w:w="676" w:type="dxa"/>
            <w:gridSpan w:val="2"/>
            <w:tcBorders>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c>
          <w:tcPr>
            <w:tcW w:w="6237" w:type="dxa"/>
            <w:tcBorders>
              <w:left w:val="single" w:sz="4" w:space="0" w:color="000000"/>
              <w:bottom w:val="single" w:sz="4" w:space="0" w:color="000000"/>
              <w:right w:val="single" w:sz="4" w:space="0" w:color="000000"/>
            </w:tcBorders>
          </w:tcPr>
          <w:p>
            <w:pPr>
              <w:pStyle w:val="LO-normal"/>
              <w:snapToGrid w:val="false"/>
              <w:jc w:val="both"/>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left w:val="single" w:sz="4" w:space="0" w:color="000000"/>
              <w:bottom w:val="single" w:sz="4" w:space="0" w:color="000000"/>
              <w:right w:val="single" w:sz="4" w:space="0" w:color="000000"/>
            </w:tcBorders>
          </w:tcPr>
          <w:p>
            <w:pPr>
              <w:pStyle w:val="LO-normal"/>
              <w:snapToGrid w:val="false"/>
              <w:jc w:val="both"/>
              <w:rPr>
                <w:rFonts w:ascii="Trebuchet MS" w:hAnsi="Trebuchet MS" w:eastAsia="Trebuchet MS" w:cs="Trebuchet MS"/>
                <w:sz w:val="22"/>
                <w:szCs w:val="22"/>
              </w:rPr>
            </w:pPr>
            <w:r>
              <w:rPr>
                <w:rFonts w:eastAsia="Trebuchet MS" w:cs="Trebuchet MS" w:ascii="Trebuchet MS" w:hAnsi="Trebuchet MS"/>
                <w:sz w:val="22"/>
                <w:szCs w:val="22"/>
              </w:rPr>
            </w:r>
          </w:p>
        </w:tc>
      </w:tr>
      <w:tr>
        <w:trPr>
          <w:trHeight w:val="397" w:hRule="atLeast"/>
        </w:trPr>
        <w:tc>
          <w:tcPr>
            <w:tcW w:w="6913" w:type="dxa"/>
            <w:gridSpan w:val="3"/>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PERSONAL QUALITIES AND BELIEFS</w:t>
            </w:r>
          </w:p>
        </w:tc>
        <w:tc>
          <w:tcPr>
            <w:tcW w:w="3260"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676" w:type="dxa"/>
            <w:gridSpan w:val="2"/>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2.</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3.</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4.</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5.</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6.</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7.</w:t>
            </w:r>
          </w:p>
          <w:p>
            <w:pPr>
              <w:pStyle w:val="LO-normal"/>
              <w:spacing w:lineRule="auto" w:line="240" w:before="0" w:after="60"/>
              <w:rPr>
                <w:rFonts w:ascii="Trebuchet MS" w:hAnsi="Trebuchet MS" w:eastAsia="Trebuchet MS" w:cs="Trebuchet MS"/>
                <w:sz w:val="14"/>
                <w:szCs w:val="14"/>
              </w:rPr>
            </w:pPr>
            <w:r>
              <w:rPr>
                <w:rFonts w:eastAsia="Trebuchet MS" w:cs="Trebuchet MS" w:ascii="Trebuchet MS" w:hAnsi="Trebuchet MS"/>
                <w:sz w:val="14"/>
                <w:szCs w:val="14"/>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8.</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9.</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10.</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6237" w:type="dxa"/>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The ability to prioritise and schedule workloads</w:t>
            </w:r>
          </w:p>
          <w:p>
            <w:pPr>
              <w:pStyle w:val="LO-normal"/>
              <w:spacing w:lineRule="auto" w:line="240" w:before="0" w:after="60"/>
              <w:ind w:right="176"/>
              <w:rPr>
                <w:rFonts w:ascii="Trebuchet MS" w:hAnsi="Trebuchet MS" w:eastAsia="Trebuchet MS" w:cs="Trebuchet MS"/>
                <w:sz w:val="22"/>
                <w:szCs w:val="22"/>
              </w:rPr>
            </w:pPr>
            <w:r>
              <w:rPr>
                <w:rFonts w:eastAsia="Trebuchet MS" w:cs="Trebuchet MS" w:ascii="Trebuchet MS" w:hAnsi="Trebuchet MS"/>
                <w:sz w:val="22"/>
                <w:szCs w:val="22"/>
              </w:rPr>
              <w:t>Excellent organisation and prioritisation skills</w:t>
            </w:r>
          </w:p>
          <w:p>
            <w:pPr>
              <w:pStyle w:val="LO-normal"/>
              <w:pBdr/>
              <w:spacing w:lineRule="auto" w:line="240" w:before="0" w:after="60"/>
              <w:ind w:right="176"/>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Values diversity</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Alignment with Ladybridge beliefs and mission</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Optimistic outlook – a belief that the work we do makes a difference to others</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Honest, reliable, open minded, modest and full of integrity</w:t>
            </w:r>
          </w:p>
          <w:p>
            <w:pPr>
              <w:pStyle w:val="LO-normal"/>
              <w:spacing w:lineRule="auto" w:line="240" w:before="0" w:after="60"/>
              <w:rPr/>
            </w:pPr>
            <w:r>
              <w:rPr>
                <w:rFonts w:eastAsia="Trebuchet MS" w:cs="Trebuchet MS" w:ascii="Trebuchet MS" w:hAnsi="Trebuchet MS"/>
                <w:sz w:val="22"/>
                <w:szCs w:val="22"/>
              </w:rPr>
              <w:t xml:space="preserve">Models Ladybridge WISDOM qualities of </w:t>
            </w:r>
            <w:r>
              <w:rPr>
                <w:rFonts w:eastAsia="Trebuchet MS" w:cs="Trebuchet MS" w:ascii="Trebuchet MS" w:hAnsi="Trebuchet MS"/>
                <w:color w:val="000000"/>
                <w:sz w:val="22"/>
                <w:szCs w:val="22"/>
              </w:rPr>
              <w:t>Respect, Commitment, Curiosity, Kindness, Teamwork and Resilience</w:t>
            </w:r>
          </w:p>
          <w:p>
            <w:pPr>
              <w:pStyle w:val="LO-normal"/>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Excellent time management skills</w:t>
            </w:r>
          </w:p>
          <w:p>
            <w:pPr>
              <w:pStyle w:val="LO-normal"/>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Able to listen and respond in an emotional intelligent manner</w:t>
            </w:r>
          </w:p>
          <w:p>
            <w:pPr>
              <w:pStyle w:val="LO-normal"/>
              <w:spacing w:lineRule="auto" w:line="240" w:before="0" w:after="12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Good attendance and punctuality</w:t>
            </w:r>
          </w:p>
        </w:tc>
        <w:tc>
          <w:tcPr>
            <w:tcW w:w="3260" w:type="dxa"/>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 xml:space="preserve">Application Form/Interview </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18"/>
                <w:szCs w:val="18"/>
              </w:rPr>
            </w:pPr>
            <w:r>
              <w:rPr>
                <w:rFonts w:eastAsia="Trebuchet MS" w:cs="Trebuchet MS" w:ascii="Trebuchet MS" w:hAnsi="Trebuchet MS"/>
                <w:color w:val="000000"/>
                <w:sz w:val="18"/>
                <w:szCs w:val="18"/>
              </w:rPr>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Application Form/Interview</w:t>
            </w:r>
          </w:p>
          <w:p>
            <w:pPr>
              <w:pStyle w:val="LO-normal"/>
              <w:pBdr/>
              <w:spacing w:lineRule="auto" w:line="240" w:before="0" w:after="60"/>
              <w:rPr>
                <w:rFonts w:ascii="Trebuchet MS" w:hAnsi="Trebuchet MS" w:eastAsia="Trebuchet MS" w:cs="Trebuchet MS"/>
                <w:color w:val="000000"/>
                <w:sz w:val="12"/>
                <w:szCs w:val="12"/>
              </w:rPr>
            </w:pPr>
            <w:r>
              <w:rPr>
                <w:rFonts w:eastAsia="Trebuchet MS" w:cs="Trebuchet MS" w:ascii="Trebuchet MS" w:hAnsi="Trebuchet MS"/>
                <w:color w:val="000000"/>
                <w:sz w:val="12"/>
                <w:szCs w:val="1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Application Form/Interview</w:t>
            </w:r>
          </w:p>
        </w:tc>
      </w:tr>
      <w:tr>
        <w:trPr>
          <w:cantSplit w:val="true"/>
        </w:trPr>
        <w:tc>
          <w:tcPr>
            <w:tcW w:w="6913" w:type="dxa"/>
            <w:gridSpan w:val="3"/>
            <w:tcBorders>
              <w:top w:val="single" w:sz="4" w:space="0" w:color="000000"/>
              <w:left w:val="single" w:sz="4" w:space="0" w:color="000000"/>
              <w:bottom w:val="single" w:sz="4" w:space="0" w:color="000000"/>
              <w:right w:val="single" w:sz="4" w:space="0" w:color="000000"/>
            </w:tcBorders>
            <w:shd w:fill="C0C0C0" w:val="clear"/>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MINIMUM ESSENTIAL REQUIREMENTS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top w:val="single" w:sz="4" w:space="0" w:color="000000"/>
              <w:left w:val="single" w:sz="4" w:space="0" w:color="000000"/>
              <w:bottom w:val="single" w:sz="4" w:space="0" w:color="000000"/>
              <w:right w:val="single" w:sz="4" w:space="0" w:color="000000"/>
            </w:tcBorders>
            <w:shd w:fill="C0C0C0" w:val="clear"/>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METHOD OF ASSESSMENT</w:t>
            </w:r>
          </w:p>
        </w:tc>
      </w:tr>
      <w:tr>
        <w:trPr>
          <w:trHeight w:val="397" w:hRule="atLeast"/>
        </w:trPr>
        <w:tc>
          <w:tcPr>
            <w:tcW w:w="6913" w:type="dxa"/>
            <w:gridSpan w:val="3"/>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Knowledge/Experience/Qualifications/Training etc</w:t>
            </w:r>
          </w:p>
        </w:tc>
        <w:tc>
          <w:tcPr>
            <w:tcW w:w="3260"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573" w:type="dxa"/>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2.</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3.</w:t>
            </w:r>
          </w:p>
          <w:p>
            <w:pPr>
              <w:pStyle w:val="LO-normal"/>
              <w:spacing w:lineRule="auto" w:line="240" w:before="0" w:after="60"/>
              <w:rPr>
                <w:rFonts w:ascii="Trebuchet MS" w:hAnsi="Trebuchet MS" w:eastAsia="Trebuchet MS" w:cs="Trebuchet MS"/>
                <w:sz w:val="14"/>
                <w:szCs w:val="14"/>
              </w:rPr>
            </w:pPr>
            <w:r>
              <w:rPr>
                <w:rFonts w:eastAsia="Trebuchet MS" w:cs="Trebuchet MS" w:ascii="Trebuchet MS" w:hAnsi="Trebuchet MS"/>
                <w:sz w:val="14"/>
                <w:szCs w:val="14"/>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4.</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5.</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6.</w:t>
            </w:r>
          </w:p>
          <w:p>
            <w:pPr>
              <w:pStyle w:val="LO-normal"/>
              <w:spacing w:lineRule="auto" w:line="240" w:before="0" w:after="60"/>
              <w:rPr>
                <w:rFonts w:ascii="Trebuchet MS" w:hAnsi="Trebuchet MS" w:eastAsia="Trebuchet MS" w:cs="Trebuchet MS"/>
                <w:sz w:val="2"/>
                <w:szCs w:val="2"/>
              </w:rPr>
            </w:pPr>
            <w:r>
              <w:rPr>
                <w:rFonts w:eastAsia="Trebuchet MS" w:cs="Trebuchet MS" w:ascii="Trebuchet MS" w:hAnsi="Trebuchet MS"/>
                <w:sz w:val="2"/>
                <w:szCs w:val="2"/>
              </w:rPr>
            </w:r>
          </w:p>
          <w:p>
            <w:pPr>
              <w:pStyle w:val="LO-normal"/>
              <w:spacing w:lineRule="auto" w:line="240" w:before="0" w:after="60"/>
              <w:rPr>
                <w:rFonts w:ascii="Trebuchet MS" w:hAnsi="Trebuchet MS" w:eastAsia="Trebuchet MS" w:cs="Trebuchet MS"/>
                <w:sz w:val="10"/>
                <w:szCs w:val="10"/>
              </w:rPr>
            </w:pPr>
            <w:r>
              <w:rPr>
                <w:rFonts w:eastAsia="Trebuchet MS" w:cs="Trebuchet MS" w:ascii="Trebuchet MS" w:hAnsi="Trebuchet MS"/>
                <w:sz w:val="10"/>
                <w:szCs w:val="10"/>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7.</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12"/>
                <w:szCs w:val="12"/>
              </w:rPr>
            </w:pPr>
            <w:r>
              <w:rPr>
                <w:rFonts w:eastAsia="Trebuchet MS" w:cs="Trebuchet MS" w:ascii="Trebuchet MS" w:hAnsi="Trebuchet MS"/>
                <w:sz w:val="12"/>
                <w:szCs w:val="1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8.</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14"/>
                <w:szCs w:val="14"/>
              </w:rPr>
            </w:pPr>
            <w:r>
              <w:rPr>
                <w:rFonts w:eastAsia="Trebuchet MS" w:cs="Trebuchet MS" w:ascii="Trebuchet MS" w:hAnsi="Trebuchet MS"/>
                <w:sz w:val="14"/>
                <w:szCs w:val="14"/>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9.</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32"/>
                <w:szCs w:val="32"/>
              </w:rPr>
            </w:pPr>
            <w:r>
              <w:rPr>
                <w:rFonts w:eastAsia="Trebuchet MS" w:cs="Trebuchet MS" w:ascii="Trebuchet MS" w:hAnsi="Trebuchet MS"/>
                <w:sz w:val="32"/>
                <w:szCs w:val="3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10.</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11.</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12.</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13.</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10"/>
                <w:szCs w:val="10"/>
              </w:rPr>
            </w:pPr>
            <w:r>
              <w:rPr>
                <w:rFonts w:eastAsia="Trebuchet MS" w:cs="Trebuchet MS" w:ascii="Trebuchet MS" w:hAnsi="Trebuchet MS"/>
                <w:sz w:val="10"/>
                <w:szCs w:val="10"/>
              </w:rPr>
            </w:r>
          </w:p>
          <w:p>
            <w:pPr>
              <w:pStyle w:val="LO-normal"/>
              <w:spacing w:lineRule="auto" w:line="240" w:before="0" w:after="60"/>
              <w:rPr>
                <w:rFonts w:ascii="Trebuchet MS" w:hAnsi="Trebuchet MS" w:eastAsia="Trebuchet MS" w:cs="Trebuchet MS"/>
                <w:sz w:val="10"/>
                <w:szCs w:val="10"/>
              </w:rPr>
            </w:pPr>
            <w:r>
              <w:rPr>
                <w:rFonts w:eastAsia="Trebuchet MS" w:cs="Trebuchet MS" w:ascii="Trebuchet MS" w:hAnsi="Trebuchet MS"/>
                <w:sz w:val="10"/>
                <w:szCs w:val="10"/>
              </w:rPr>
            </w:r>
          </w:p>
          <w:p>
            <w:pPr>
              <w:pStyle w:val="LO-normal"/>
              <w:spacing w:lineRule="auto" w:line="240" w:before="0" w:after="60"/>
              <w:rPr>
                <w:rFonts w:ascii="Trebuchet MS" w:hAnsi="Trebuchet MS" w:eastAsia="Trebuchet MS" w:cs="Trebuchet MS"/>
                <w:sz w:val="10"/>
                <w:szCs w:val="10"/>
              </w:rPr>
            </w:pPr>
            <w:r>
              <w:rPr>
                <w:rFonts w:eastAsia="Trebuchet MS" w:cs="Trebuchet MS" w:ascii="Trebuchet MS" w:hAnsi="Trebuchet MS"/>
                <w:sz w:val="10"/>
                <w:szCs w:val="10"/>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14.</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15.</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16.</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17.</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18.</w:t>
            </w:r>
          </w:p>
        </w:tc>
        <w:tc>
          <w:tcPr>
            <w:tcW w:w="6340" w:type="dxa"/>
            <w:gridSpan w:val="2"/>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pPr>
            <w:r>
              <w:rPr>
                <w:rFonts w:eastAsia="Trebuchet MS" w:cs="Trebuchet MS" w:ascii="Trebuchet MS" w:hAnsi="Trebuchet MS"/>
                <w:sz w:val="22"/>
                <w:szCs w:val="22"/>
              </w:rPr>
              <w:t>Knowledge and understanding of strategies to support learners with English as an Additional Language</w:t>
            </w:r>
            <w:r>
              <w:rPr>
                <w:rFonts w:eastAsia="Trebuchet MS" w:cs="Trebuchet MS" w:ascii="Trebuchet MS" w:hAnsi="Trebuchet MS"/>
                <w:color w:val="000000"/>
                <w:sz w:val="22"/>
                <w:szCs w:val="22"/>
              </w:rPr>
              <w:t xml:space="preserve"> </w:t>
            </w:r>
          </w:p>
          <w:p>
            <w:pPr>
              <w:pStyle w:val="LO-normal"/>
              <w:spacing w:lineRule="auto" w:line="240" w:before="0" w:after="60"/>
              <w:rPr/>
            </w:pPr>
            <w:r>
              <w:rPr>
                <w:rFonts w:eastAsia="Trebuchet MS" w:cs="Trebuchet MS" w:ascii="Trebuchet MS" w:hAnsi="Trebuchet MS"/>
                <w:color w:val="000000"/>
                <w:sz w:val="22"/>
                <w:szCs w:val="22"/>
              </w:rPr>
              <w:t>Knowledge and understanding of how to support learners newly arrived in the UK</w:t>
            </w:r>
            <w:r>
              <w:rPr>
                <w:rFonts w:eastAsia="Trebuchet MS" w:cs="Trebuchet MS" w:ascii="Trebuchet MS" w:hAnsi="Trebuchet MS"/>
                <w:sz w:val="22"/>
                <w:szCs w:val="22"/>
              </w:rPr>
              <w:t xml:space="preserve"> </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Understanding of key factors affecting young people’s learning and progress</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Have sufficient understanding of area of expertise to support the development, learning and progress of young people</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of how to use ICT to support professional activities</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of phonics, vocabulary enrichment and developing literacy of those with English as an Additional Language</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of how statutory and non-statutory frameworks and the school curriculum relates to the age and ability ranges of the learners being supported</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Understanding of the main features of the school’s EAL Policy, SEN Code of Practice and current disabilities legislation to support learners in accessing the curriculum</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understanding of how frameworks that support the development and well-being of children and young people impact on practice, including safeguarding, Child Protection and Health &amp; Safety</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understanding of national benchmarks for achievement and links to planning of work.</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understanding of how engagement and interest in learning can be maximised.</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experience of the practical application of the numeracy and literacy policies.</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understanding of strategies to monitor learner progress and of the range of records used for learners.</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Relevant experience of working with young people aged between 11 and 16 in an educational setting.</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Holder of a Higher Level Teaching Assistant accreditation, equivalent or higher.</w:t>
            </w:r>
          </w:p>
          <w:p>
            <w:pPr>
              <w:pStyle w:val="LO-normal"/>
              <w:spacing w:lineRule="auto" w:line="240" w:before="0" w:after="60"/>
              <w:rPr/>
            </w:pPr>
            <w:r>
              <w:rPr>
                <w:rFonts w:eastAsia="Trebuchet MS" w:cs="Trebuchet MS" w:ascii="Trebuchet MS" w:hAnsi="Trebuchet MS"/>
              </w:rPr>
              <w:t>Holder of GCSE Mathematics and English qualification Grades A-C or 9-4 or the equivalent</w:t>
            </w:r>
            <w:r>
              <w:rPr>
                <w:rFonts w:eastAsia="Trebuchet MS" w:cs="Trebuchet MS" w:ascii="Trebuchet MS" w:hAnsi="Trebuchet MS"/>
                <w:sz w:val="22"/>
                <w:szCs w:val="22"/>
              </w:rPr>
              <w:t xml:space="preserve"> Willingness to engage in relevant learning opportunities. </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Knowledge and understanding of how to direct the work of other adults to support learning</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top w:val="single" w:sz="4" w:space="0" w:color="000000"/>
              <w:left w:val="single" w:sz="4" w:space="0" w:color="000000"/>
              <w:bottom w:val="single" w:sz="4" w:space="0" w:color="000000"/>
              <w:right w:val="single" w:sz="4" w:space="0" w:color="000000"/>
            </w:tcBorders>
          </w:tcPr>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 Observation</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 Observation</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Application form</w:t>
            </w:r>
          </w:p>
          <w:p>
            <w:pPr>
              <w:pStyle w:val="LO-normal"/>
              <w:spacing w:lineRule="auto" w:line="240" w:before="0" w:after="60"/>
              <w:rPr>
                <w:rFonts w:ascii="Trebuchet MS" w:hAnsi="Trebuchet MS" w:eastAsia="Trebuchet MS" w:cs="Trebuchet MS"/>
                <w:sz w:val="14"/>
                <w:szCs w:val="14"/>
              </w:rPr>
            </w:pPr>
            <w:r>
              <w:rPr>
                <w:rFonts w:eastAsia="Trebuchet MS" w:cs="Trebuchet MS" w:ascii="Trebuchet MS" w:hAnsi="Trebuchet MS"/>
                <w:sz w:val="14"/>
                <w:szCs w:val="14"/>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 Observation</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36"/>
                <w:szCs w:val="36"/>
              </w:rPr>
            </w:pPr>
            <w:r>
              <w:rPr>
                <w:rFonts w:eastAsia="Trebuchet MS" w:cs="Trebuchet MS" w:ascii="Trebuchet MS" w:hAnsi="Trebuchet MS"/>
                <w:sz w:val="36"/>
                <w:szCs w:val="3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40"/>
                <w:szCs w:val="40"/>
              </w:rPr>
            </w:pPr>
            <w:r>
              <w:rPr>
                <w:rFonts w:eastAsia="Trebuchet MS" w:cs="Trebuchet MS" w:ascii="Trebuchet MS" w:hAnsi="Trebuchet MS"/>
                <w:sz w:val="40"/>
                <w:szCs w:val="40"/>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8"/>
                <w:szCs w:val="8"/>
              </w:rPr>
            </w:pPr>
            <w:r>
              <w:rPr>
                <w:rFonts w:eastAsia="Trebuchet MS" w:cs="Trebuchet MS" w:ascii="Trebuchet MS" w:hAnsi="Trebuchet MS"/>
                <w:sz w:val="8"/>
                <w:szCs w:val="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Application form</w:t>
            </w:r>
          </w:p>
          <w:p>
            <w:pPr>
              <w:pStyle w:val="LO-normal"/>
              <w:spacing w:lineRule="auto" w:line="240" w:before="0" w:after="60"/>
              <w:rPr>
                <w:rFonts w:ascii="Trebuchet MS" w:hAnsi="Trebuchet MS" w:eastAsia="Trebuchet MS" w:cs="Trebuchet MS"/>
                <w:sz w:val="18"/>
                <w:szCs w:val="18"/>
              </w:rPr>
            </w:pPr>
            <w:r>
              <w:rPr>
                <w:rFonts w:eastAsia="Trebuchet MS" w:cs="Trebuchet MS" w:ascii="Trebuchet MS" w:hAnsi="Trebuchet MS"/>
                <w:sz w:val="18"/>
                <w:szCs w:val="18"/>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Application form</w:t>
            </w:r>
          </w:p>
          <w:p>
            <w:pPr>
              <w:pStyle w:val="LO-normal"/>
              <w:spacing w:lineRule="auto" w:line="240" w:before="0" w:after="60"/>
              <w:rPr>
                <w:rFonts w:ascii="Trebuchet MS" w:hAnsi="Trebuchet MS" w:eastAsia="Trebuchet MS" w:cs="Trebuchet MS"/>
                <w:sz w:val="16"/>
                <w:szCs w:val="16"/>
              </w:rPr>
            </w:pPr>
            <w:r>
              <w:rPr>
                <w:rFonts w:eastAsia="Trebuchet MS" w:cs="Trebuchet MS" w:ascii="Trebuchet MS" w:hAnsi="Trebuchet MS"/>
                <w:sz w:val="16"/>
                <w:szCs w:val="16"/>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20"/>
                <w:szCs w:val="20"/>
              </w:rPr>
            </w:pPr>
            <w:r>
              <w:rPr>
                <w:rFonts w:eastAsia="Trebuchet MS" w:cs="Trebuchet MS" w:ascii="Trebuchet MS" w:hAnsi="Trebuchet MS"/>
                <w:sz w:val="20"/>
                <w:szCs w:val="20"/>
              </w:rPr>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spacing w:lineRule="auto" w:line="240" w:before="0" w:after="60"/>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trHeight w:val="385" w:hRule="atLeast"/>
          <w:cantSplit w:val="true"/>
        </w:trPr>
        <w:tc>
          <w:tcPr>
            <w:tcW w:w="6913" w:type="dxa"/>
            <w:gridSpan w:val="3"/>
            <w:tcBorders>
              <w:top w:val="single" w:sz="4" w:space="0" w:color="000000"/>
              <w:left w:val="single" w:sz="4" w:space="0" w:color="000000"/>
              <w:bottom w:val="single" w:sz="4" w:space="0" w:color="000000"/>
              <w:right w:val="single" w:sz="4" w:space="0" w:color="000000"/>
            </w:tcBorders>
            <w:shd w:fill="C0C0C0" w:val="clear"/>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MINIMUM ESSENTIAL REQUIREMENTS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top w:val="single" w:sz="4" w:space="0" w:color="000000"/>
              <w:left w:val="single" w:sz="4" w:space="0" w:color="000000"/>
              <w:bottom w:val="single" w:sz="4" w:space="0" w:color="000000"/>
              <w:right w:val="single" w:sz="4" w:space="0" w:color="000000"/>
            </w:tcBorders>
            <w:shd w:fill="C0C0C0" w:val="clear"/>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METHOD OF ASSESSMENT</w:t>
            </w:r>
          </w:p>
        </w:tc>
      </w:tr>
      <w:tr>
        <w:trPr>
          <w:trHeight w:val="397" w:hRule="atLeast"/>
        </w:trPr>
        <w:tc>
          <w:tcPr>
            <w:tcW w:w="6913" w:type="dxa"/>
            <w:gridSpan w:val="3"/>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Work Related Circumstances</w:t>
            </w:r>
          </w:p>
        </w:tc>
        <w:tc>
          <w:tcPr>
            <w:tcW w:w="3260"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676" w:type="dxa"/>
            <w:gridSpan w:val="2"/>
            <w:tcBorders>
              <w:left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c>
          <w:tcPr>
            <w:tcW w:w="6237" w:type="dxa"/>
            <w:tcBorders>
              <w:left w:val="single" w:sz="4" w:space="0" w:color="000000"/>
              <w:right w:val="single" w:sz="4" w:space="0" w:color="000000"/>
            </w:tcBorders>
          </w:tcPr>
          <w:p>
            <w:pPr>
              <w:pStyle w:val="LO-normal"/>
              <w:ind w:right="175"/>
              <w:rPr>
                <w:rFonts w:ascii="Trebuchet MS" w:hAnsi="Trebuchet MS" w:eastAsia="Trebuchet MS" w:cs="Trebuchet MS"/>
                <w:sz w:val="22"/>
                <w:szCs w:val="22"/>
              </w:rPr>
            </w:pPr>
            <w:r>
              <w:rPr>
                <w:rFonts w:eastAsia="Trebuchet MS" w:cs="Trebuchet MS" w:ascii="Trebuchet MS" w:hAnsi="Trebuchet MS"/>
                <w:sz w:val="22"/>
                <w:szCs w:val="22"/>
              </w:rPr>
              <w:t>Bolton Council is a Smoke-free Employer</w:t>
            </w:r>
          </w:p>
          <w:p>
            <w:pPr>
              <w:pStyle w:val="LO-normal"/>
              <w:ind w:right="175"/>
              <w:rPr>
                <w:rFonts w:ascii="Trebuchet MS" w:hAnsi="Trebuchet MS" w:eastAsia="Trebuchet MS" w:cs="Trebuchet MS"/>
                <w:sz w:val="22"/>
                <w:szCs w:val="22"/>
              </w:rPr>
            </w:pPr>
            <w:r>
              <w:rPr>
                <w:rFonts w:eastAsia="Trebuchet MS" w:cs="Trebuchet MS" w:ascii="Trebuchet MS" w:hAnsi="Trebuchet MS"/>
                <w:sz w:val="22"/>
                <w:szCs w:val="22"/>
              </w:rPr>
            </w:r>
          </w:p>
        </w:tc>
        <w:tc>
          <w:tcPr>
            <w:tcW w:w="3260" w:type="dxa"/>
            <w:tcBorders>
              <w:left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676" w:type="dxa"/>
            <w:gridSpan w:val="2"/>
            <w:tcBorders>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c>
          <w:tcPr>
            <w:tcW w:w="6237" w:type="dxa"/>
            <w:tcBorders>
              <w:left w:val="single" w:sz="4" w:space="0" w:color="000000"/>
              <w:bottom w:val="single" w:sz="4" w:space="0" w:color="000000"/>
              <w:right w:val="single" w:sz="4" w:space="0" w:color="000000"/>
            </w:tcBorders>
          </w:tcPr>
          <w:p>
            <w:pPr>
              <w:pStyle w:val="LO-normal"/>
              <w:ind w:right="175"/>
              <w:rPr>
                <w:rFonts w:ascii="Trebuchet MS" w:hAnsi="Trebuchet MS" w:eastAsia="Trebuchet MS" w:cs="Trebuchet MS"/>
                <w:sz w:val="22"/>
                <w:szCs w:val="22"/>
              </w:rPr>
            </w:pPr>
            <w:r>
              <w:rPr>
                <w:rFonts w:eastAsia="Trebuchet MS" w:cs="Trebuchet MS" w:ascii="Trebuchet MS" w:hAnsi="Trebuchet MS"/>
                <w:sz w:val="22"/>
                <w:szCs w:val="22"/>
              </w:rPr>
              <w:t>The nature and demands of the post-holder’s time are not always predictable and there will be an expectation that work will be required outside normal hours from time to time</w:t>
            </w:r>
          </w:p>
        </w:tc>
        <w:tc>
          <w:tcPr>
            <w:tcW w:w="3260" w:type="dxa"/>
            <w:tcBorders>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bl>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bl>
      <w:tblPr>
        <w:tblW w:w="10173" w:type="dxa"/>
        <w:jc w:val="left"/>
        <w:tblInd w:w="-7" w:type="dxa"/>
        <w:tblLayout w:type="fixed"/>
        <w:tblCellMar>
          <w:top w:w="0" w:type="dxa"/>
          <w:left w:w="108" w:type="dxa"/>
          <w:bottom w:w="0" w:type="dxa"/>
          <w:right w:w="108" w:type="dxa"/>
        </w:tblCellMar>
      </w:tblPr>
      <w:tblGrid>
        <w:gridCol w:w="534"/>
        <w:gridCol w:w="857"/>
        <w:gridCol w:w="629"/>
        <w:gridCol w:w="4928"/>
        <w:gridCol w:w="3225"/>
      </w:tblGrid>
      <w:tr>
        <w:trPr/>
        <w:tc>
          <w:tcPr>
            <w:tcW w:w="1391" w:type="dxa"/>
            <w:gridSpan w:val="2"/>
            <w:tcBorders/>
          </w:tcPr>
          <w:p>
            <w:pPr>
              <w:pStyle w:val="LO-normal"/>
              <w:keepNext w:val="true"/>
              <w:rPr>
                <w:rFonts w:ascii="Trebuchet MS" w:hAnsi="Trebuchet MS" w:eastAsia="Trebuchet MS" w:cs="Trebuchet MS"/>
                <w:b/>
                <w:sz w:val="20"/>
                <w:szCs w:val="20"/>
              </w:rPr>
            </w:pPr>
            <w:r>
              <w:rPr>
                <w:rFonts w:eastAsia="Trebuchet MS" w:cs="Trebuchet MS" w:ascii="Trebuchet MS" w:hAnsi="Trebuchet MS"/>
                <w:b/>
                <w:sz w:val="20"/>
                <w:szCs w:val="20"/>
              </w:rPr>
              <w:t>STAGE TWO</w:t>
            </w:r>
          </w:p>
        </w:tc>
        <w:tc>
          <w:tcPr>
            <w:tcW w:w="8782" w:type="dxa"/>
            <w:gridSpan w:val="3"/>
            <w:tcBorders/>
          </w:tcPr>
          <w:p>
            <w:pPr>
              <w:pStyle w:val="LO-normal"/>
              <w:rPr>
                <w:rFonts w:ascii="Trebuchet MS" w:hAnsi="Trebuchet MS" w:eastAsia="Trebuchet MS" w:cs="Trebuchet MS"/>
                <w:sz w:val="20"/>
                <w:szCs w:val="20"/>
              </w:rPr>
            </w:pPr>
            <w:r>
              <w:rPr>
                <w:rFonts w:eastAsia="Trebuchet MS" w:cs="Trebuchet MS" w:ascii="Trebuchet MS" w:hAnsi="Trebuchet MS"/>
                <w:sz w:val="20"/>
                <w:szCs w:val="20"/>
              </w:rPr>
              <w:t>Will only be used if a large number of applicants meeting the minimum essential requirements</w:t>
            </w:r>
          </w:p>
        </w:tc>
      </w:tr>
      <w:tr>
        <w:trPr/>
        <w:tc>
          <w:tcPr>
            <w:tcW w:w="2020" w:type="dxa"/>
            <w:gridSpan w:val="3"/>
            <w:tcBorders/>
          </w:tcPr>
          <w:p>
            <w:pPr>
              <w:pStyle w:val="LO-normal"/>
              <w:keepNext w:val="true"/>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tc>
        <w:tc>
          <w:tcPr>
            <w:tcW w:w="8153" w:type="dxa"/>
            <w:gridSpan w:val="2"/>
            <w:tcBorders/>
          </w:tcPr>
          <w:p>
            <w:pPr>
              <w:pStyle w:val="LO-normal"/>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tc>
      </w:tr>
      <w:tr>
        <w:trPr>
          <w:cantSplit w:val="true"/>
        </w:trPr>
        <w:tc>
          <w:tcPr>
            <w:tcW w:w="6948" w:type="dxa"/>
            <w:gridSpan w:val="4"/>
            <w:tcBorders>
              <w:top w:val="single" w:sz="4" w:space="0" w:color="000000"/>
              <w:left w:val="single" w:sz="4" w:space="0" w:color="000000"/>
              <w:bottom w:val="single" w:sz="4" w:space="0" w:color="000000"/>
              <w:right w:val="single" w:sz="4" w:space="0" w:color="000000"/>
            </w:tcBorders>
            <w:shd w:fill="C0C0C0" w:val="clear"/>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ADDITIONAL REQUIREMENTS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3225" w:type="dxa"/>
            <w:tcBorders>
              <w:top w:val="single" w:sz="4" w:space="0" w:color="000000"/>
              <w:left w:val="single" w:sz="4" w:space="0" w:color="000000"/>
              <w:bottom w:val="single" w:sz="4" w:space="0" w:color="000000"/>
              <w:right w:val="single" w:sz="4" w:space="0" w:color="000000"/>
            </w:tcBorders>
            <w:shd w:fill="C0C0C0" w:val="clear"/>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METHOD OF ASSESSMENT</w:t>
            </w:r>
          </w:p>
        </w:tc>
      </w:tr>
      <w:tr>
        <w:trPr>
          <w:trHeight w:val="397" w:hRule="atLeast"/>
        </w:trPr>
        <w:tc>
          <w:tcPr>
            <w:tcW w:w="6948" w:type="dxa"/>
            <w:gridSpan w:val="4"/>
            <w:tcBorders>
              <w:top w:val="single" w:sz="4" w:space="0" w:color="000000"/>
              <w:left w:val="single" w:sz="4" w:space="0" w:color="000000"/>
              <w:bottom w:val="single" w:sz="4" w:space="0" w:color="000000"/>
              <w:right w:val="single" w:sz="4" w:space="0" w:color="000000"/>
            </w:tcBorders>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Skills and Competency</w:t>
            </w:r>
          </w:p>
        </w:tc>
        <w:tc>
          <w:tcPr>
            <w:tcW w:w="3225"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c>
          <w:tcPr>
            <w:tcW w:w="534" w:type="dxa"/>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1.</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2.</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3.</w:t>
            </w:r>
          </w:p>
        </w:tc>
        <w:tc>
          <w:tcPr>
            <w:tcW w:w="6414" w:type="dxa"/>
            <w:gridSpan w:val="3"/>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Ability to use area(s) of expertise to lead and advance learning</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Ability to use ICT to engage learners, including selecting appropriate tools and sources of information</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Ability to draw on area of expertise to impact on the learning of a whole class</w:t>
            </w:r>
          </w:p>
        </w:tc>
        <w:tc>
          <w:tcPr>
            <w:tcW w:w="3225" w:type="dxa"/>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r>
        <w:trPr>
          <w:cantSplit w:val="true"/>
        </w:trPr>
        <w:tc>
          <w:tcPr>
            <w:tcW w:w="6948" w:type="dxa"/>
            <w:gridSpan w:val="4"/>
            <w:tcBorders>
              <w:top w:val="single" w:sz="4" w:space="0" w:color="000000"/>
              <w:left w:val="single" w:sz="4" w:space="0" w:color="000000"/>
              <w:bottom w:val="single" w:sz="4" w:space="0" w:color="000000"/>
              <w:right w:val="single" w:sz="4" w:space="0" w:color="000000"/>
            </w:tcBorders>
            <w:shd w:fill="C0C0C0" w:val="clear"/>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ADDITIONAL REQUIREMENTS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tc>
        <w:tc>
          <w:tcPr>
            <w:tcW w:w="3225" w:type="dxa"/>
            <w:tcBorders>
              <w:top w:val="single" w:sz="4" w:space="0" w:color="000000"/>
              <w:left w:val="single" w:sz="4" w:space="0" w:color="000000"/>
              <w:bottom w:val="single" w:sz="4" w:space="0" w:color="000000"/>
              <w:right w:val="single" w:sz="4" w:space="0" w:color="000000"/>
            </w:tcBorders>
            <w:shd w:fill="C0C0C0" w:val="clear"/>
          </w:tcPr>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METHOD OF ASSESSMENT</w:t>
            </w:r>
          </w:p>
        </w:tc>
      </w:tr>
      <w:tr>
        <w:trPr>
          <w:trHeight w:val="397" w:hRule="atLeast"/>
        </w:trPr>
        <w:tc>
          <w:tcPr>
            <w:tcW w:w="6948" w:type="dxa"/>
            <w:gridSpan w:val="4"/>
            <w:tcBorders>
              <w:top w:val="single" w:sz="4" w:space="0" w:color="000000"/>
              <w:left w:val="single" w:sz="4" w:space="0" w:color="000000"/>
              <w:bottom w:val="single" w:sz="4" w:space="0" w:color="000000"/>
              <w:right w:val="single" w:sz="4" w:space="0" w:color="000000"/>
            </w:tcBorders>
          </w:tcPr>
          <w:p>
            <w:pPr>
              <w:pStyle w:val="LO-normal"/>
              <w:rPr/>
            </w:pPr>
            <w:r>
              <w:rPr>
                <w:rFonts w:eastAsia="Trebuchet MS" w:cs="Trebuchet MS" w:ascii="Trebuchet MS" w:hAnsi="Trebuchet MS"/>
                <w:b/>
                <w:sz w:val="22"/>
                <w:szCs w:val="22"/>
              </w:rPr>
              <w:t>Knowledge/Experience/Qualifications/Training, etc</w:t>
            </w:r>
            <w:r>
              <w:rPr>
                <w:rFonts w:eastAsia="Trebuchet MS" w:cs="Trebuchet MS" w:ascii="Trebuchet MS" w:hAnsi="Trebuchet MS"/>
                <w:sz w:val="22"/>
                <w:szCs w:val="22"/>
              </w:rPr>
              <w:t xml:space="preserve"> </w:t>
            </w:r>
          </w:p>
        </w:tc>
        <w:tc>
          <w:tcPr>
            <w:tcW w:w="3225" w:type="dxa"/>
            <w:tcBorders>
              <w:top w:val="single" w:sz="4" w:space="0" w:color="000000"/>
              <w:left w:val="single" w:sz="4" w:space="0" w:color="000000"/>
              <w:bottom w:val="single" w:sz="4" w:space="0" w:color="000000"/>
              <w:right w:val="single" w:sz="4" w:space="0" w:color="000000"/>
            </w:tcBorders>
          </w:tcPr>
          <w:p>
            <w:pPr>
              <w:pStyle w:val="LO-normal"/>
              <w:snapToGrid w:val="false"/>
              <w:rPr>
                <w:rFonts w:ascii="Trebuchet MS" w:hAnsi="Trebuchet MS" w:eastAsia="Trebuchet MS" w:cs="Trebuchet MS"/>
                <w:sz w:val="22"/>
                <w:szCs w:val="22"/>
              </w:rPr>
            </w:pPr>
            <w:r>
              <w:rPr>
                <w:rFonts w:eastAsia="Trebuchet MS" w:cs="Trebuchet MS" w:ascii="Trebuchet MS" w:hAnsi="Trebuchet MS"/>
                <w:sz w:val="22"/>
                <w:szCs w:val="22"/>
              </w:rPr>
            </w:r>
          </w:p>
        </w:tc>
      </w:tr>
      <w:tr>
        <w:trPr>
          <w:trHeight w:val="2041" w:hRule="atLeast"/>
        </w:trPr>
        <w:tc>
          <w:tcPr>
            <w:tcW w:w="534" w:type="dxa"/>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1.</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 xml:space="preserve">2. </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3.</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4.</w:t>
            </w:r>
          </w:p>
        </w:tc>
        <w:tc>
          <w:tcPr>
            <w:tcW w:w="6414" w:type="dxa"/>
            <w:gridSpan w:val="3"/>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Knowledge and understanding of how to carry out risk assessments with regards to relevant learning activities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Knowledge and understanding of mindfulness practise and how it benefits learner's mental health and well-being.</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Proficiency in speaking an additional language and experience of translating and communicating with parents/carers.</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A willingness to go above and beyond and support our learners and their families.</w:t>
            </w:r>
          </w:p>
        </w:tc>
        <w:tc>
          <w:tcPr>
            <w:tcW w:w="3225" w:type="dxa"/>
            <w:tcBorders>
              <w:top w:val="single" w:sz="4" w:space="0" w:color="000000"/>
              <w:left w:val="single" w:sz="4" w:space="0" w:color="000000"/>
              <w:right w:val="single" w:sz="4" w:space="0" w:color="000000"/>
            </w:tcBorders>
          </w:tcPr>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r>
          </w:p>
          <w:p>
            <w:pPr>
              <w:pStyle w:val="LO-normal"/>
              <w:rPr>
                <w:rFonts w:ascii="Trebuchet MS" w:hAnsi="Trebuchet MS" w:eastAsia="Trebuchet MS" w:cs="Trebuchet MS"/>
                <w:sz w:val="22"/>
                <w:szCs w:val="22"/>
              </w:rPr>
            </w:pPr>
            <w:r>
              <w:rPr>
                <w:rFonts w:eastAsia="Trebuchet MS" w:cs="Trebuchet MS" w:ascii="Trebuchet MS" w:hAnsi="Trebuchet MS"/>
                <w:sz w:val="22"/>
                <w:szCs w:val="22"/>
              </w:rPr>
              <w:t>Interview/Application form</w:t>
            </w:r>
          </w:p>
        </w:tc>
      </w:tr>
    </w:tbl>
    <w:p>
      <w:pPr>
        <w:pStyle w:val="LO-normal"/>
        <w:keepNext w:val="false"/>
        <w:keepLines w:val="false"/>
        <w:pageBreakBefore w:val="false"/>
        <w:widowControl w:val="false"/>
        <w:pBdr/>
        <w:spacing w:lineRule="auto" w:line="276" w:before="0" w:after="0"/>
        <w:ind w:right="0"/>
        <w:jc w:val="left"/>
        <w:rPr>
          <w:rFonts w:ascii="Trebuchet MS" w:hAnsi="Trebuchet MS" w:eastAsia="Trebuchet MS" w:cs="Trebuchet MS"/>
          <w:sz w:val="22"/>
          <w:szCs w:val="22"/>
        </w:rPr>
      </w:pPr>
      <w:r>
        <w:rPr>
          <w:rFonts w:eastAsia="Trebuchet MS" w:cs="Trebuchet MS" w:ascii="Trebuchet MS" w:hAnsi="Trebuchet MS"/>
          <w:sz w:val="22"/>
          <w:szCs w:val="22"/>
        </w:rPr>
      </w:r>
    </w:p>
    <w:tbl>
      <w:tblPr>
        <w:tblW w:w="10142" w:type="dxa"/>
        <w:jc w:val="left"/>
        <w:tblInd w:w="-7" w:type="dxa"/>
        <w:tblLayout w:type="fixed"/>
        <w:tblCellMar>
          <w:top w:w="0" w:type="dxa"/>
          <w:left w:w="108" w:type="dxa"/>
          <w:bottom w:w="0" w:type="dxa"/>
          <w:right w:w="108" w:type="dxa"/>
        </w:tblCellMar>
      </w:tblPr>
      <w:tblGrid>
        <w:gridCol w:w="5436"/>
        <w:gridCol w:w="4706"/>
      </w:tblGrid>
      <w:tr>
        <w:trPr/>
        <w:tc>
          <w:tcPr>
            <w:tcW w:w="10142" w:type="dxa"/>
            <w:gridSpan w:val="2"/>
            <w:tcBorders>
              <w:top w:val="single" w:sz="4" w:space="0" w:color="000000"/>
              <w:left w:val="single" w:sz="4" w:space="0" w:color="000000"/>
              <w:bottom w:val="single" w:sz="4" w:space="0" w:color="000000"/>
              <w:right w:val="single" w:sz="4" w:space="0" w:color="000000"/>
            </w:tcBorders>
            <w:shd w:fill="C0C0C0" w:val="clear"/>
          </w:tcPr>
          <w:p>
            <w:pPr>
              <w:pStyle w:val="LO-normal"/>
              <w:rPr/>
            </w:pPr>
            <w:r>
              <w:rPr>
                <w:rFonts w:eastAsia="Trebuchet MS" w:cs="Trebuchet MS" w:ascii="Trebuchet MS" w:hAnsi="Trebuchet MS"/>
                <w:sz w:val="18"/>
                <w:szCs w:val="18"/>
              </w:rPr>
              <w:t xml:space="preserve">Note to Applicants: </w:t>
            </w:r>
            <w:r>
              <w:rPr>
                <w:rFonts w:eastAsia="Trebuchet MS" w:cs="Trebuchet MS" w:ascii="Trebuchet MS" w:hAnsi="Trebuchet MS"/>
                <w:b/>
                <w:sz w:val="18"/>
                <w:szCs w:val="18"/>
              </w:rPr>
              <w:t>Please try to show in your application form, how best you meet these requirements</w:t>
            </w:r>
          </w:p>
        </w:tc>
      </w:tr>
      <w:tr>
        <w:trPr/>
        <w:tc>
          <w:tcPr>
            <w:tcW w:w="5436" w:type="dxa"/>
            <w:tcBorders/>
          </w:tcPr>
          <w:p>
            <w:pPr>
              <w:pStyle w:val="LO-normal"/>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p>
            <w:pPr>
              <w:pStyle w:val="LO-normal"/>
              <w:rPr>
                <w:rFonts w:ascii="Trebuchet MS" w:hAnsi="Trebuchet MS" w:eastAsia="Trebuchet MS" w:cs="Trebuchet MS"/>
                <w:b/>
                <w:sz w:val="22"/>
                <w:szCs w:val="22"/>
              </w:rPr>
            </w:pPr>
            <w:r>
              <w:rPr>
                <w:rFonts w:eastAsia="Trebuchet MS" w:cs="Trebuchet MS" w:ascii="Trebuchet MS" w:hAnsi="Trebuchet MS"/>
                <w:b/>
                <w:sz w:val="22"/>
                <w:szCs w:val="22"/>
              </w:rPr>
              <w:t>Date Person Specification Updated</w:t>
            </w:r>
          </w:p>
        </w:tc>
        <w:tc>
          <w:tcPr>
            <w:tcW w:w="4706" w:type="dxa"/>
            <w:tcBorders/>
          </w:tcPr>
          <w:p>
            <w:pPr>
              <w:pStyle w:val="LO-normal"/>
              <w:keepNext w:val="true"/>
              <w:tabs>
                <w:tab w:val="clear" w:pos="720"/>
                <w:tab w:val="left" w:pos="1005" w:leader="none"/>
              </w:tabs>
              <w:snapToGrid w:val="false"/>
              <w:rPr>
                <w:rFonts w:ascii="Trebuchet MS" w:hAnsi="Trebuchet MS" w:eastAsia="Trebuchet MS" w:cs="Trebuchet MS"/>
                <w:b/>
                <w:sz w:val="22"/>
                <w:szCs w:val="22"/>
              </w:rPr>
            </w:pPr>
            <w:r>
              <w:rPr>
                <w:rFonts w:eastAsia="Trebuchet MS" w:cs="Trebuchet MS" w:ascii="Trebuchet MS" w:hAnsi="Trebuchet MS"/>
                <w:b/>
                <w:sz w:val="22"/>
                <w:szCs w:val="22"/>
              </w:rPr>
            </w:r>
          </w:p>
          <w:p>
            <w:pPr>
              <w:pStyle w:val="LO-normal"/>
              <w:keepNext w:val="true"/>
              <w:tabs>
                <w:tab w:val="clear" w:pos="720"/>
                <w:tab w:val="left" w:pos="1005" w:leader="none"/>
              </w:tabs>
              <w:rPr>
                <w:rFonts w:ascii="Trebuchet MS" w:hAnsi="Trebuchet MS" w:eastAsia="Trebuchet MS" w:cs="Trebuchet MS"/>
                <w:b/>
                <w:sz w:val="22"/>
                <w:szCs w:val="22"/>
              </w:rPr>
            </w:pPr>
            <w:r>
              <w:rPr>
                <w:rFonts w:eastAsia="Trebuchet MS" w:cs="Trebuchet MS" w:ascii="Trebuchet MS" w:hAnsi="Trebuchet MS"/>
                <w:b/>
                <w:sz w:val="22"/>
                <w:szCs w:val="22"/>
              </w:rPr>
              <w:t>June 2024</w:t>
            </w:r>
          </w:p>
        </w:tc>
      </w:tr>
      <w:tr>
        <w:trPr>
          <w:trHeight w:val="428" w:hRule="atLeast"/>
        </w:trPr>
        <w:tc>
          <w:tcPr>
            <w:tcW w:w="5436" w:type="dxa"/>
            <w:tcBorders/>
          </w:tcPr>
          <w:p>
            <w:pPr>
              <w:pStyle w:val="LO-normal"/>
              <w:keepNext w:val="true"/>
              <w:rPr>
                <w:rFonts w:ascii="Trebuchet MS" w:hAnsi="Trebuchet MS" w:eastAsia="Trebuchet MS" w:cs="Trebuchet MS"/>
                <w:b/>
                <w:sz w:val="22"/>
                <w:szCs w:val="22"/>
              </w:rPr>
            </w:pPr>
            <w:r>
              <w:rPr>
                <w:rFonts w:eastAsia="Trebuchet MS" w:cs="Trebuchet MS" w:ascii="Trebuchet MS" w:hAnsi="Trebuchet MS"/>
                <w:b/>
                <w:sz w:val="22"/>
                <w:szCs w:val="22"/>
              </w:rPr>
              <w:t xml:space="preserve">Person Specification Prepared By </w:t>
            </w:r>
          </w:p>
        </w:tc>
        <w:tc>
          <w:tcPr>
            <w:tcW w:w="4706" w:type="dxa"/>
            <w:tcBorders/>
          </w:tcPr>
          <w:p>
            <w:pPr>
              <w:pStyle w:val="LO-normal"/>
              <w:tabs>
                <w:tab w:val="clear" w:pos="720"/>
                <w:tab w:val="left" w:pos="1080" w:leader="none"/>
              </w:tabs>
              <w:rPr>
                <w:rFonts w:ascii="Trebuchet MS" w:hAnsi="Trebuchet MS" w:eastAsia="Trebuchet MS" w:cs="Trebuchet MS"/>
                <w:b/>
                <w:sz w:val="22"/>
                <w:szCs w:val="22"/>
              </w:rPr>
            </w:pPr>
            <w:r>
              <w:rPr>
                <w:rFonts w:eastAsia="Trebuchet MS" w:cs="Trebuchet MS" w:ascii="Trebuchet MS" w:hAnsi="Trebuchet MS"/>
                <w:b/>
                <w:sz w:val="22"/>
                <w:szCs w:val="22"/>
              </w:rPr>
              <w:t>Gaynor Chesterfield/Victoria Halliwell</w:t>
            </w:r>
          </w:p>
        </w:tc>
      </w:tr>
    </w:tbl>
    <w:p>
      <w:pPr>
        <w:pStyle w:val="LO-normal"/>
        <w:rPr>
          <w:rFonts w:ascii="Trebuchet MS" w:hAnsi="Trebuchet MS" w:eastAsia="Trebuchet MS" w:cs="Trebuchet MS"/>
        </w:rPr>
      </w:pPr>
      <w:r>
        <w:rPr>
          <w:rFonts w:eastAsia="Trebuchet MS" w:cs="Trebuchet MS" w:ascii="Trebuchet MS" w:hAnsi="Trebuchet MS"/>
        </w:rPr>
      </w:r>
    </w:p>
    <w:p>
      <w:pPr>
        <w:pStyle w:val="LO-normal"/>
        <w:rPr>
          <w:rFonts w:ascii="Trebuchet MS" w:hAnsi="Trebuchet MS" w:eastAsia="Trebuchet MS" w:cs="Trebuchet MS"/>
        </w:rPr>
      </w:pPr>
      <w:r>
        <w:rPr>
          <w:rFonts w:eastAsia="Trebuchet MS" w:cs="Trebuchet MS" w:ascii="Trebuchet MS" w:hAnsi="Trebuchet MS"/>
        </w:rPr>
      </w:r>
    </w:p>
    <w:p>
      <w:pPr>
        <w:pStyle w:val="LO-normal"/>
        <w:pBdr/>
        <w:rPr>
          <w:rFonts w:ascii="Trebuchet MS" w:hAnsi="Trebuchet MS" w:eastAsia="Trebuchet MS" w:cs="Trebuchet MS"/>
          <w:b/>
          <w:color w:val="000000"/>
          <w:sz w:val="32"/>
          <w:szCs w:val="32"/>
        </w:rPr>
      </w:pPr>
      <w:r>
        <w:rPr>
          <w:rFonts w:eastAsia="Trebuchet MS" w:cs="Trebuchet MS" w:ascii="Trebuchet MS" w:hAnsi="Trebuchet MS"/>
          <w:b/>
          <w:color w:val="000000"/>
          <w:sz w:val="32"/>
          <w:szCs w:val="32"/>
        </w:rPr>
      </w:r>
    </w:p>
    <w:p>
      <w:pPr>
        <w:pStyle w:val="LO-normal"/>
        <w:pBdr/>
        <w:rPr>
          <w:rFonts w:ascii="Trebuchet MS" w:hAnsi="Trebuchet MS" w:eastAsia="Trebuchet MS" w:cs="Trebuchet MS"/>
          <w:b/>
          <w:color w:val="000000"/>
          <w:sz w:val="36"/>
          <w:szCs w:val="36"/>
        </w:rPr>
      </w:pPr>
      <w:r>
        <w:rPr>
          <w:rFonts w:eastAsia="Trebuchet MS" w:cs="Trebuchet MS" w:ascii="Trebuchet MS" w:hAnsi="Trebuchet MS"/>
          <w:b/>
          <w:color w:val="000000"/>
          <w:sz w:val="36"/>
          <w:szCs w:val="36"/>
        </w:rPr>
        <w:t>Core Competencies</w:t>
      </w:r>
    </w:p>
    <w:p>
      <w:pPr>
        <w:pStyle w:val="LO-normal"/>
        <w:pBdr/>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These core competencies are considered essential for all roles within this school. Please be prepared to be assessed on any of these during the interview process and, for the successful applicant, throughout the probationary period.</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Developing Self and Others</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Promote a learning environment to embed a learning culture. Support others to develop their skills and knowledge to fulfil their potential. Actively pursue your own development.</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Civil Contingencies</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Equality and Diversity</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Uphold the principles of fairness and the Equality Act 2010 in all undertakings as an employee of the school, including providing a fair, accessible service irrespective of customer’s race, religion, gender, sexuality, disability or age.</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Customer Care</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The ability to fully understand, assess and resolve the needs of all customers including those who present with complex situations, in a manner that respects dignity and expresses a caring and professional image.</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Health and Safety</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Data Protection and Confidentiality</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Fluency Duty</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Working Hours</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The nature and demands of the role are not always predictable and there will be an expectation that work will be required outside of normal hours from time to time.</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r>
    </w:p>
    <w:p>
      <w:pPr>
        <w:pStyle w:val="LO-normal"/>
        <w:pBdr/>
        <w:jc w:val="both"/>
        <w:rPr>
          <w:rFonts w:ascii="Trebuchet MS" w:hAnsi="Trebuchet MS" w:eastAsia="Trebuchet MS" w:cs="Trebuchet MS"/>
          <w:b/>
          <w:color w:val="000000"/>
          <w:sz w:val="22"/>
          <w:szCs w:val="22"/>
        </w:rPr>
      </w:pPr>
      <w:r>
        <w:rPr>
          <w:rFonts w:eastAsia="Trebuchet MS" w:cs="Trebuchet MS" w:ascii="Trebuchet MS" w:hAnsi="Trebuchet MS"/>
          <w:b/>
          <w:color w:val="000000"/>
          <w:sz w:val="22"/>
          <w:szCs w:val="22"/>
        </w:rPr>
        <w:t>Safeguarding</w:t>
      </w:r>
    </w:p>
    <w:p>
      <w:pPr>
        <w:pStyle w:val="LO-normal"/>
        <w:pBdr/>
        <w:jc w:val="both"/>
        <w:rPr>
          <w:rFonts w:ascii="Trebuchet MS" w:hAnsi="Trebuchet MS" w:eastAsia="Trebuchet MS" w:cs="Trebuchet MS"/>
          <w:color w:val="000000"/>
          <w:sz w:val="22"/>
          <w:szCs w:val="22"/>
        </w:rPr>
      </w:pPr>
      <w:r>
        <w:rPr>
          <w:rFonts w:eastAsia="Trebuchet MS" w:cs="Trebuchet MS" w:ascii="Trebuchet MS" w:hAnsi="Trebuchet MS"/>
          <w:color w:val="000000"/>
          <w:sz w:val="22"/>
          <w:szCs w:val="22"/>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footerReference w:type="default" r:id="rId5"/>
      <w:footerReference w:type="first" r:id="rId6"/>
      <w:type w:val="nextPage"/>
      <w:pgSz w:w="11906" w:h="16838"/>
      <w:pgMar w:left="1077" w:right="1077" w:gutter="0" w:header="0" w:top="1134" w:footer="561"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oto Sans Symbols">
    <w:charset w:val="01"/>
    <w:family w:val="auto"/>
    <w:pitch w:val="default"/>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Calibri">
    <w:charset w:val="00"/>
    <w:family w:val="roman"/>
    <w:pitch w:val="variable"/>
  </w:font>
  <w:font w:name="Georgia">
    <w:charset w:val="00"/>
    <w:family w:val="roman"/>
    <w:pitch w:val="variable"/>
  </w:font>
  <w:font w:name="Trebuchet MS">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pBdr/>
      <w:tabs>
        <w:tab w:val="clear" w:pos="720"/>
        <w:tab w:val="center" w:pos="4513" w:leader="none"/>
        <w:tab w:val="right" w:pos="9026" w:leader="none"/>
      </w:tabs>
      <w:jc w:val="right"/>
      <w:rPr>
        <w:color w:val="000000"/>
      </w:rPr>
    </w:pPr>
    <w:r>
      <w:rPr/>
      <w:fldChar w:fldCharType="begin"/>
    </w:r>
    <w:r>
      <w:rPr/>
      <w:instrText xml:space="preserve"> PAGE </w:instrText>
    </w:r>
    <w:r>
      <w:rPr/>
      <w:fldChar w:fldCharType="separate"/>
    </w:r>
    <w:r>
      <w:rPr/>
      <w:t>3</w:t>
    </w:r>
    <w:r>
      <w:rPr/>
      <w:fldChar w:fldCharType="end"/>
    </w:r>
  </w:p>
  <w:p>
    <w:pPr>
      <w:pStyle w:val="LO-normal"/>
      <w:pBdr/>
      <w:tabs>
        <w:tab w:val="clear" w:pos="720"/>
        <w:tab w:val="center" w:pos="4513" w:leader="none"/>
        <w:tab w:val="right" w:pos="9026" w:leader="none"/>
      </w:tabs>
      <w:rPr>
        <w:color w:val="000000"/>
      </w:rPr>
    </w:pPr>
    <w:r>
      <w:rPr>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pBdr/>
      <w:tabs>
        <w:tab w:val="clear" w:pos="720"/>
        <w:tab w:val="center" w:pos="4513" w:leader="none"/>
        <w:tab w:val="right" w:pos="9026" w:leader="none"/>
      </w:tabs>
      <w:jc w:val="right"/>
      <w:rPr>
        <w:color w:val="000000"/>
        <w:sz w:val="14"/>
        <w:szCs w:val="14"/>
      </w:rPr>
    </w:pPr>
    <w:r>
      <w:rPr/>
      <w:fldChar w:fldCharType="begin"/>
    </w:r>
    <w:r>
      <w:rPr/>
      <w:instrText xml:space="preserve"> PAGE </w:instrText>
    </w:r>
    <w:r>
      <w:rPr/>
      <w:fldChar w:fldCharType="separate"/>
    </w:r>
    <w:r>
      <w:rPr/>
      <w:t>7</w:t>
    </w:r>
    <w:r>
      <w:rPr/>
      <w:fldChar w:fldCharType="end"/>
    </w:r>
  </w:p>
  <w:p>
    <w:pPr>
      <w:pStyle w:val="LO-normal"/>
      <w:pBdr/>
      <w:tabs>
        <w:tab w:val="clear" w:pos="720"/>
        <w:tab w:val="center" w:pos="4513" w:leader="none"/>
        <w:tab w:val="center" w:pos="4820" w:leader="none"/>
        <w:tab w:val="right" w:pos="9026" w:leader="none"/>
        <w:tab w:val="right" w:pos="9639" w:leader="none"/>
      </w:tabs>
      <w:rPr>
        <w:color w:val="000000"/>
        <w:sz w:val="14"/>
        <w:szCs w:val="14"/>
      </w:rPr>
    </w:pPr>
    <w:r>
      <w:rPr>
        <w:color w:val="000000"/>
        <w:sz w:val="14"/>
        <w:szCs w:val="1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927" w:hanging="360"/>
      </w:pPr>
      <w:rPr>
        <w:rFonts w:ascii="Noto Sans Symbols" w:hAnsi="Noto Sans Symbols" w:cs="Noto Sans Symbols" w:hint="default"/>
        <w:sz w:val="22"/>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Heading1">
    <w:name w:val="Heading 1"/>
    <w:basedOn w:val="LO-normal"/>
    <w:next w:val="LO-normal"/>
    <w:qFormat/>
    <w:pPr>
      <w:keepNext w:val="true"/>
      <w:keepLines/>
      <w:numPr>
        <w:ilvl w:val="0"/>
        <w:numId w:val="1"/>
      </w:numPr>
      <w:spacing w:lineRule="auto" w:line="240" w:before="480" w:after="120"/>
      <w:outlineLvl w:val="0"/>
    </w:pPr>
    <w:rPr>
      <w:b/>
      <w:sz w:val="48"/>
      <w:szCs w:val="48"/>
    </w:rPr>
  </w:style>
  <w:style w:type="paragraph" w:styleId="Heading2">
    <w:name w:val="Heading 2"/>
    <w:basedOn w:val="LO-normal"/>
    <w:next w:val="LO-normal"/>
    <w:qFormat/>
    <w:pPr>
      <w:keepNext w:val="true"/>
      <w:keepLines/>
      <w:numPr>
        <w:ilvl w:val="1"/>
        <w:numId w:val="1"/>
      </w:numPr>
      <w:spacing w:lineRule="auto" w:line="240" w:before="360" w:after="80"/>
      <w:outlineLvl w:val="1"/>
    </w:pPr>
    <w:rPr>
      <w:b/>
      <w:sz w:val="36"/>
      <w:szCs w:val="36"/>
    </w:rPr>
  </w:style>
  <w:style w:type="paragraph" w:styleId="Heading3">
    <w:name w:val="Heading 3"/>
    <w:basedOn w:val="LO-normal"/>
    <w:next w:val="LO-normal"/>
    <w:qFormat/>
    <w:pPr>
      <w:keepNext w:val="true"/>
      <w:keepLines/>
      <w:numPr>
        <w:ilvl w:val="2"/>
        <w:numId w:val="1"/>
      </w:numPr>
      <w:spacing w:lineRule="auto" w:line="240" w:before="280" w:after="80"/>
      <w:outlineLvl w:val="2"/>
    </w:pPr>
    <w:rPr>
      <w:b/>
      <w:sz w:val="28"/>
      <w:szCs w:val="28"/>
    </w:rPr>
  </w:style>
  <w:style w:type="paragraph" w:styleId="Heading4">
    <w:name w:val="Heading 4"/>
    <w:basedOn w:val="LO-normal"/>
    <w:next w:val="LO-normal"/>
    <w:qFormat/>
    <w:pPr>
      <w:keepNext w:val="true"/>
      <w:keepLines/>
      <w:numPr>
        <w:ilvl w:val="3"/>
        <w:numId w:val="1"/>
      </w:numPr>
      <w:spacing w:lineRule="auto" w:line="240" w:before="240" w:after="40"/>
      <w:outlineLvl w:val="3"/>
    </w:pPr>
    <w:rPr>
      <w:b/>
    </w:rPr>
  </w:style>
  <w:style w:type="paragraph" w:styleId="Heading5">
    <w:name w:val="Heading 5"/>
    <w:basedOn w:val="LO-normal"/>
    <w:next w:val="LO-normal"/>
    <w:qFormat/>
    <w:pPr>
      <w:keepNext w:val="true"/>
      <w:keepLines/>
      <w:numPr>
        <w:ilvl w:val="4"/>
        <w:numId w:val="1"/>
      </w:numPr>
      <w:spacing w:lineRule="auto" w:line="240" w:before="220" w:after="40"/>
      <w:outlineLvl w:val="4"/>
    </w:pPr>
    <w:rPr>
      <w:b/>
      <w:sz w:val="22"/>
      <w:szCs w:val="22"/>
    </w:rPr>
  </w:style>
  <w:style w:type="paragraph" w:styleId="Heading6">
    <w:name w:val="Heading 6"/>
    <w:basedOn w:val="LO-normal"/>
    <w:next w:val="LO-normal"/>
    <w:qFormat/>
    <w:pPr>
      <w:keepNext w:val="true"/>
      <w:keepLines/>
      <w:numPr>
        <w:ilvl w:val="5"/>
        <w:numId w:val="1"/>
      </w:numPr>
      <w:spacing w:lineRule="auto" w:line="240" w:before="200" w:after="40"/>
      <w:outlineLvl w:val="5"/>
    </w:pPr>
    <w:rPr>
      <w:b/>
      <w:sz w:val="20"/>
      <w:szCs w:val="20"/>
    </w:rPr>
  </w:style>
  <w:style w:type="character" w:styleId="WW8Num1z0">
    <w:name w:val="WW8Num1z0"/>
    <w:qFormat/>
    <w:rPr>
      <w:rFonts w:ascii="Noto Sans Symbols" w:hAnsi="Noto Sans Symbols" w:cs="Noto Sans Symbols"/>
      <w:sz w:val="22"/>
    </w:rPr>
  </w:style>
  <w:style w:type="character" w:styleId="WW8Num1z1">
    <w:name w:val="WW8Num1z1"/>
    <w:qFormat/>
    <w:rPr>
      <w:rFonts w:ascii="Courier New" w:hAnsi="Courier New" w:cs="Courier New"/>
    </w:rPr>
  </w:style>
  <w:style w:type="character" w:styleId="WW8Num1z2">
    <w:name w:val="WW8Num1z2"/>
    <w:qFormat/>
    <w:rPr>
      <w:rFonts w:ascii="Noto Sans Symbols" w:hAnsi="Noto Sans Symbols" w:cs="Noto Sans Symbols"/>
    </w:rPr>
  </w:style>
  <w:style w:type="character" w:styleId="WW8Num2z0">
    <w:name w:val="WW8Num2z0"/>
    <w:qFormat/>
    <w:rPr>
      <w:rFonts w:ascii="Noto Sans Symbols" w:hAnsi="Noto Sans Symbols" w:cs="Noto Sans Symbols"/>
      <w:sz w:val="22"/>
    </w:rPr>
  </w:style>
  <w:style w:type="character" w:styleId="WW8Num2z1">
    <w:name w:val="WW8Num2z1"/>
    <w:qFormat/>
    <w:rPr>
      <w:rFonts w:ascii="Courier New" w:hAnsi="Courier New" w:cs="Courier New"/>
    </w:rPr>
  </w:style>
  <w:style w:type="character" w:styleId="WW8Num2z2">
    <w:name w:val="WW8Num2z2"/>
    <w:qFormat/>
    <w:rPr>
      <w:rFonts w:ascii="Noto Sans Symbols" w:hAnsi="Noto Sans Symbols" w:cs="Noto Sans Symbols"/>
    </w:rPr>
  </w:style>
  <w:style w:type="character" w:styleId="WW8Num3z0">
    <w:name w:val="WW8Num3z0"/>
    <w:qFormat/>
    <w:rPr>
      <w:rFonts w:ascii="Noto Sans Symbols" w:hAnsi="Noto Sans Symbols" w:cs="Noto Sans Symbols"/>
      <w:sz w:val="22"/>
    </w:rPr>
  </w:style>
  <w:style w:type="character" w:styleId="DefaultParagraphFont">
    <w:name w:val="Default Paragraph Font"/>
    <w:qFormat/>
    <w:rPr/>
  </w:style>
  <w:style w:type="character" w:styleId="FooterChar">
    <w:name w:val="Footer Char"/>
    <w:qFormat/>
    <w:rPr>
      <w:sz w:val="24"/>
      <w:szCs w:val="24"/>
    </w:rPr>
  </w:style>
  <w:style w:type="character" w:styleId="Hyperlink">
    <w:name w:val="Hyperlink"/>
    <w:rPr>
      <w:color w:val="0000FF"/>
      <w:u w:val="single"/>
    </w:rPr>
  </w:style>
  <w:style w:type="character" w:styleId="FootnoteTextChar">
    <w:name w:val="Footnote Text Char"/>
    <w:qFormat/>
    <w:rPr>
      <w:lang w:eastAsia="ar-SA"/>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yle11">
    <w:name w:val="style11"/>
    <w:qFormat/>
    <w:rPr>
      <w:b/>
      <w:bCs/>
      <w:color w:val="FF0000"/>
    </w:rPr>
  </w:style>
  <w:style w:type="character" w:styleId="HeaderChar">
    <w:name w:val="Header Char"/>
    <w:qFormat/>
    <w:rPr>
      <w:sz w:val="24"/>
      <w:szCs w:val="24"/>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name w:val="LO-normal"/>
    <w:qFormat/>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Title">
    <w:name w:val="Title"/>
    <w:basedOn w:val="LO-normal"/>
    <w:next w:val="LO-normal"/>
    <w:qFormat/>
    <w:pPr>
      <w:keepNext w:val="true"/>
      <w:keepLines/>
      <w:spacing w:lineRule="auto" w:line="240" w:before="480" w:after="120"/>
    </w:pPr>
    <w:rPr>
      <w:b/>
      <w:sz w:val="72"/>
      <w:szCs w:val="72"/>
    </w:rPr>
  </w:style>
  <w:style w:type="paragraph" w:styleId="BalloonText">
    <w:name w:val="Balloon Text"/>
    <w:basedOn w:val="LO-normal"/>
    <w:qFormat/>
    <w:pPr/>
    <w:rPr>
      <w:rFonts w:ascii="Tahoma" w:hAnsi="Tahoma" w:cs="Tahoma"/>
      <w:sz w:val="16"/>
      <w:szCs w:val="16"/>
    </w:rPr>
  </w:style>
  <w:style w:type="paragraph" w:styleId="HeaderandFooter">
    <w:name w:val="Header and Footer"/>
    <w:basedOn w:val="Normal"/>
    <w:qFormat/>
    <w:pPr/>
    <w:rPr/>
  </w:style>
  <w:style w:type="paragraph" w:styleId="Footer">
    <w:name w:val="Footer"/>
    <w:basedOn w:val="LO-normal"/>
    <w:pPr>
      <w:tabs>
        <w:tab w:val="clear" w:pos="720"/>
        <w:tab w:val="center" w:pos="4513" w:leader="none"/>
        <w:tab w:val="right" w:pos="9026" w:leader="none"/>
      </w:tabs>
    </w:pPr>
    <w:rPr/>
  </w:style>
  <w:style w:type="paragraph" w:styleId="FootnoteText">
    <w:name w:val="Footnote Text"/>
    <w:basedOn w:val="LO-normal"/>
    <w:pPr>
      <w:suppressAutoHyphens w:val="true"/>
    </w:pPr>
    <w:rPr>
      <w:sz w:val="20"/>
      <w:szCs w:val="20"/>
      <w:lang w:eastAsia="ar-SA"/>
    </w:rPr>
  </w:style>
  <w:style w:type="paragraph" w:styleId="NormalWeb">
    <w:name w:val="Normal (Web)"/>
    <w:basedOn w:val="LO-normal"/>
    <w:qFormat/>
    <w:pPr>
      <w:spacing w:before="280" w:after="280"/>
    </w:pPr>
    <w:rPr>
      <w:color w:val="000000"/>
    </w:rPr>
  </w:style>
  <w:style w:type="paragraph" w:styleId="Header">
    <w:name w:val="Header"/>
    <w:basedOn w:val="LO-normal"/>
    <w:pPr>
      <w:tabs>
        <w:tab w:val="clear" w:pos="720"/>
        <w:tab w:val="center" w:pos="4513" w:leader="none"/>
        <w:tab w:val="right" w:pos="9026" w:leader="none"/>
      </w:tabs>
    </w:pPr>
    <w:rPr/>
  </w:style>
  <w:style w:type="paragraph" w:styleId="ListParagraph">
    <w:name w:val="List Paragraph"/>
    <w:basedOn w:val="LO-normal"/>
    <w:qFormat/>
    <w:pPr>
      <w:spacing w:lineRule="auto" w:line="276" w:before="0" w:after="200"/>
      <w:ind w:hanging="0" w:left="720" w:right="0"/>
    </w:pPr>
    <w:rPr>
      <w:rFonts w:ascii="Calibri" w:hAnsi="Calibri" w:cs="Calibri"/>
      <w:sz w:val="22"/>
      <w:szCs w:val="22"/>
    </w:rPr>
  </w:style>
  <w:style w:type="paragraph" w:styleId="NoSpacing">
    <w:name w:val="No Spacing"/>
    <w:basedOn w:val="LO-normal"/>
    <w:qFormat/>
    <w:pPr/>
    <w:rPr>
      <w:rFonts w:ascii="Calibri" w:hAnsi="Calibri" w:cs="Calibri"/>
      <w:sz w:val="22"/>
      <w:szCs w:val="22"/>
    </w:rPr>
  </w:style>
  <w:style w:type="paragraph" w:styleId="Subtitle">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image" Target="media/image2.pn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2024-09-18T07:52:00Z</dcterms:created>
  <dc:creator>Victoria Halliwell</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0x010100BD1631FD75B2A24EBC457E37EB20062A</vt:lpwstr>
  </property>
</Properties>
</file>