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CORPORATE RESOURCES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TECHNOLOGY SOLUTIONS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GRADE K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manage the Technology Solutions team, delivering a change portfolio across the Council, ensuring value for money and effective use of resources to meet Council priorities.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Head of Technology Operations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Technology Solutions Partners</w:t>
            </w:r>
          </w:p>
          <w:p>
            <w:pPr>
              <w:pStyle w:val="Normal"/>
              <w:spacing w:lineRule="auto" w:line="240" w:before="0" w:after="0"/>
              <w:rPr>
                <w:rFonts w:ascii="Arial" w:hAnsi="Arial" w:cs="Arial"/>
              </w:rPr>
            </w:pPr>
            <w:r>
              <w:rPr>
                <w:rFonts w:cs="Arial" w:ascii="Arial" w:hAnsi="Arial"/>
              </w:rPr>
              <w:t>Assistant Technology Solutions Partners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Manage the Technology Solutions Delivery function, effectively to organise and deliver change, which involves managing the Technology Solutions Team to support the maintenance and improvement of Technology infrastructure, hardware and software.</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875"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Liaise with Technology colleagues and senior stakeholders across the Council to determine a prioritised schedule of work to meet customer requirements, ensuring the portfolio of work strongly aligns with the Technology Roadmap and Digital Strategies.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Ensure that all Technology resource requirements are identified and deployed (both internally and externally) to deliver the Technology Solutions schedule, using appropriate project management processes.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Liaise with directorate leadership and teams to develop a true partnership, leading to effective Technology solutions to support business priorities and an agreed work programme, operating a management process that regularly allows for review of the Technology work schedule, monitoring of delivery for the directorates, and forward planning.</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Support staff as appropriate in managing relationships with IT suppliers and resolving issues as an integral part of ensuring delivery against the Technology Solutions change portfolio.</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Provide relevant performance information about service delivery and improvements in response to customer feedback.</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Work with the Technology Service Provider and other third parties and organisations as appropriate, to support business teams to evaluate technology solutions and to ensure successful project delivery.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t>Provide technical advice and guidance to Members, Directors and Senior Management on all aspects of Technology as required aligned to the Technology Strategy.</w:t>
            </w:r>
          </w:p>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t>Understand and maintain a keen awareness in the technology marketplace and opportunities to use and apply technology to improve Technology services and solutions.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t xml:space="preserve">Contribute to the development and testing both of service continuity and disaster recovery plans for Technology services, ensuring appropriate resilience within the core Technology infrastructure, to meet any relevant Civic Contingency responsibilities.  </w:t>
            </w:r>
          </w:p>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t xml:space="preserve">Be responsible for the financial management of revenue and capital budgets relating to Technology Solutions.  To ensure maximum value for money, including exploiting any opportunities to generate additional funding and income, preventing overspend, and generating cost efficiencies. </w:t>
            </w:r>
          </w:p>
          <w:p>
            <w:pPr>
              <w:pStyle w:val="Normal"/>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pPr>
            <w:r>
              <w:rPr>
                <w:rFonts w:eastAsia="Times New Roman" w:cs="Arial" w:ascii="Arial" w:hAnsi="Arial"/>
                <w:lang w:eastAsia="en-GB"/>
              </w:rPr>
              <w:t xml:space="preserve">Operate appropriate internal controls and to ensure adequate records and procedures are in place to protect the Council and Technology assets.  </w:t>
            </w:r>
            <w:r>
              <w:rPr>
                <w:rFonts w:cs="Arial" w:ascii="Arial" w:hAnsi="Arial"/>
                <w:color w:val="000000"/>
                <w:lang w:eastAsia="en-GB"/>
              </w:rPr>
              <w:t>Involves ensuring strong audit outcomes.</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April 2026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Head of Technology </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Corporate resources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technology solutions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Demonstrated experience of </w:t>
            </w:r>
            <w:r>
              <w:rPr>
                <w:rFonts w:eastAsia="Times New Roman" w:cs="Arial" w:ascii="Arial" w:hAnsi="Arial"/>
                <w:lang w:eastAsia="en-GB"/>
              </w:rPr>
              <w:t>Technology</w:t>
            </w:r>
            <w:r>
              <w:rPr>
                <w:rFonts w:cs="Arial" w:ascii="Arial" w:hAnsi="Arial"/>
              </w:rPr>
              <w:t xml:space="preserve"> project development &amp; scheduling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Demonstrated high level standards of organisational skills, to ensure that a range of projects can be co-ordinated, so that programmes of work are effectively managed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Demonstrated high levels of interpersonal and communication skills and understanding of why this is important in this role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Evidence of proactive and creative approach to problem solving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Local Authority culture, procedures and systems including the political environment.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expert advice and guidance in relation to a range of current ICT technologies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Demonstrated knowledge of a relevant structured project management methodology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use of appropriate planning and control tools, to collect data &amp; intelligence and produce forecasts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degree, or equivalent professional management, or IT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Certificate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Possession of, or working towards an ITIL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Certificate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Significant experience working in an ICT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Account/ Relationship/ Contract management role relating to outsourced service delivery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PRINCE Project Management Methodology experience</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in estimating principles and techniques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Significant experience of Account/Relationship/Contract management role relating to an outsourced ICT service</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April 2026 </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Head of Technology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2021-11-22T18:23:00Z</dcterms:created>
  <dc:creator>Johnson, Andrew</dc:creator>
  <dc:description/>
  <dc:language>en-US</dc:language>
  <cp:lastModifiedBy>Crompton, Rebecca</cp:lastModifiedBy>
  <cp:lastPrinted>1995-11-21T17:41:00Z</cp:lastPrinted>
  <dcterms:modified xsi:type="dcterms:W3CDTF">2026-05-07T09:25:00Z</dcterms:modified>
  <cp:revision>19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0x0101000546D9254E1FD443A6C398E2C0B5643E</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