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anchor behindDoc="0" distT="0" distB="0" distL="0" distR="0" simplePos="0" locked="0" layoutInCell="1" allowOverlap="1" relativeHeight="7">
            <wp:simplePos x="0" y="0"/>
            <wp:positionH relativeFrom="column">
              <wp:posOffset>4394835</wp:posOffset>
            </wp:positionH>
            <wp:positionV relativeFrom="paragraph">
              <wp:posOffset>-513080</wp:posOffset>
            </wp:positionV>
            <wp:extent cx="1904365" cy="83756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9" t="-43" r="-19" b="-43"/>
                    <a:stretch>
                      <a:fillRect/>
                    </a:stretch>
                  </pic:blipFill>
                  <pic:spPr bwMode="auto">
                    <a:xfrm>
                      <a:off x="0" y="0"/>
                      <a:ext cx="1904365" cy="837565"/>
                    </a:xfrm>
                    <a:prstGeom prst="rect">
                      <a:avLst/>
                    </a:prstGeom>
                  </pic:spPr>
                </pic:pic>
              </a:graphicData>
            </a:graphic>
          </wp:anchor>
        </w:drawing>
      </w:r>
    </w:p>
    <w:p>
      <w:pPr>
        <w:pStyle w:val="Normal"/>
        <w:rPr>
          <w:rFonts w:eastAsia="Calibri" w:cs="Calibri"/>
        </w:rPr>
      </w:pPr>
      <w:r>
        <w:rPr>
          <w:rFonts w:eastAsia="Calibri" w:cs="Calibri"/>
        </w:rPr>
        <w:t xml:space="preserve"> </w:t>
      </w:r>
    </w:p>
    <w:p>
      <w:pPr>
        <w:pStyle w:val="Normal"/>
        <w:rPr>
          <w:b/>
          <w:b/>
          <w:bCs/>
          <w:sz w:val="40"/>
          <w:szCs w:val="40"/>
        </w:rPr>
      </w:pPr>
      <w:r>
        <w:rPr>
          <w:b/>
          <w:bCs/>
          <w:sz w:val="40"/>
          <w:szCs w:val="40"/>
        </w:rPr>
        <w:t xml:space="preserve">Job Description </w:t>
      </w:r>
    </w:p>
    <w:tbl>
      <w:tblPr>
        <w:tblW w:w="9637" w:type="dxa"/>
        <w:jc w:val="left"/>
        <w:tblInd w:w="0" w:type="dxa"/>
        <w:tblCellMar>
          <w:top w:w="0" w:type="dxa"/>
          <w:left w:w="108" w:type="dxa"/>
          <w:bottom w:w="0" w:type="dxa"/>
          <w:right w:w="108" w:type="dxa"/>
        </w:tblCellMar>
      </w:tblPr>
      <w:tblGrid>
        <w:gridCol w:w="2638"/>
        <w:gridCol w:w="6999"/>
      </w:tblGrid>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Department</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rPr>
            </w:pPr>
            <w:r>
              <w:rPr>
                <w:rFonts w:cs="Arial" w:ascii="Arial" w:hAnsi="Arial"/>
                <w:b/>
              </w:rPr>
              <w:t>START WELL</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Job Title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bCs/>
              </w:rPr>
            </w:pPr>
            <w:r>
              <w:rPr>
                <w:rFonts w:cs="Arial" w:ascii="Arial" w:hAnsi="Arial"/>
                <w:b/>
                <w:bCs/>
              </w:rPr>
              <w:t>COMMISSIONING OFFICER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Grade</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
                <w:b/>
                <w:bCs/>
              </w:rPr>
            </w:pPr>
            <w:r>
              <w:rPr>
                <w:rFonts w:cs="Arial" w:ascii="Arial" w:hAnsi="Arial"/>
                <w:b/>
                <w:bCs/>
              </w:rPr>
              <w:t>H</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Primary Purpose of Job</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Cs/>
              </w:rPr>
            </w:pPr>
            <w:r>
              <w:rPr>
                <w:rFonts w:cs="Arial" w:ascii="Arial" w:hAnsi="Arial"/>
                <w:bCs/>
              </w:rPr>
              <w:t>To assist the Director to do everything possible to ensure the Directorate fulfils its primary purpose both effectively and efficiently; ensuring that evidence-based commissioning and procurement deliver services that meet required outcomes and quality standards</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napToGrid w:val="false"/>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Reporting To</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bCs/>
              </w:rPr>
            </w:pPr>
            <w:r>
              <w:rPr>
                <w:rFonts w:cs="Arial" w:ascii="Arial" w:hAnsi="Arial"/>
                <w:bCs/>
              </w:rPr>
              <w:t>Principal Commissioning Officer</w:t>
            </w:r>
          </w:p>
        </w:tc>
      </w:tr>
      <w:tr>
        <w:trPr>
          <w:trHeight w:val="506" w:hRule="atLeast"/>
        </w:trPr>
        <w:tc>
          <w:tcPr>
            <w:tcW w:w="2638" w:type="dxa"/>
            <w:tcBorders>
              <w:top w:val="single" w:sz="4" w:space="0" w:color="D9D9D9"/>
              <w:left w:val="single" w:sz="4" w:space="0" w:color="D9D9D9"/>
              <w:bottom w:val="single" w:sz="4" w:space="0" w:color="D9D9D9"/>
            </w:tcBorders>
            <w:shd w:fill="auto" w:val="clear"/>
          </w:tcPr>
          <w:p>
            <w:pPr>
              <w:pStyle w:val="Normal"/>
              <w:spacing w:lineRule="auto" w:line="240" w:before="0" w:after="0"/>
              <w:rPr>
                <w:rFonts w:ascii="Arial" w:hAnsi="Arial" w:cs="Arial"/>
                <w:b/>
                <w:b/>
              </w:rPr>
            </w:pPr>
            <w:r>
              <w:rPr>
                <w:rFonts w:cs="Arial" w:ascii="Arial" w:hAnsi="Arial"/>
                <w:b/>
              </w:rPr>
              <w:t>Direct Staffing Reports</w:t>
            </w:r>
          </w:p>
        </w:tc>
        <w:tc>
          <w:tcPr>
            <w:tcW w:w="6999" w:type="dxa"/>
            <w:tcBorders>
              <w:top w:val="single" w:sz="4" w:space="0" w:color="D9D9D9"/>
              <w:left w:val="single" w:sz="4" w:space="0" w:color="D9D9D9"/>
              <w:bottom w:val="single" w:sz="4" w:space="0" w:color="D9D9D9"/>
              <w:right w:val="single" w:sz="4" w:space="0" w:color="D9D9D9"/>
            </w:tcBorders>
            <w:shd w:fill="auto" w:val="clear"/>
          </w:tcPr>
          <w:p>
            <w:pPr>
              <w:pStyle w:val="Normal"/>
              <w:spacing w:lineRule="auto" w:line="240" w:before="0" w:after="0"/>
              <w:rPr>
                <w:rFonts w:ascii="Arial" w:hAnsi="Arial" w:cs="Arial"/>
              </w:rPr>
            </w:pPr>
            <w:r>
              <w:rPr>
                <w:rFonts w:cs="Arial" w:ascii="Arial" w:hAnsi="Arial"/>
              </w:rPr>
              <w:t>NA</w:t>
            </w:r>
          </w:p>
        </w:tc>
      </w:tr>
    </w:tbl>
    <w:p>
      <w:pPr>
        <w:pStyle w:val="Normal"/>
        <w:spacing w:lineRule="auto" w:line="240" w:before="0" w:after="120"/>
        <w:rPr>
          <w:rFonts w:ascii="Arial" w:hAnsi="Arial" w:cs="Arial"/>
          <w:sz w:val="16"/>
          <w:szCs w:val="16"/>
        </w:rPr>
      </w:pPr>
      <w:r>
        <w:rPr>
          <w:rFonts w:cs="Arial" w:ascii="Arial" w:hAnsi="Arial"/>
          <w:sz w:val="16"/>
          <w:szCs w:val="16"/>
        </w:rPr>
      </w:r>
    </w:p>
    <w:p>
      <w:pPr>
        <w:pStyle w:val="Normal"/>
        <w:spacing w:lineRule="auto" w:line="240" w:before="0" w:after="120"/>
        <w:rPr>
          <w:rFonts w:ascii="Arial" w:hAnsi="Arial" w:cs="Arial"/>
          <w:b/>
          <w:b/>
        </w:rPr>
      </w:pPr>
      <w:r>
        <w:rPr>
          <w:rFonts w:cs="Arial" w:ascii="Arial" w:hAnsi="Arial"/>
          <w:b/>
        </w:rPr>
        <w:t>Main Duties</w:t>
      </w:r>
    </w:p>
    <w:tbl>
      <w:tblPr>
        <w:tblW w:w="9637" w:type="dxa"/>
        <w:jc w:val="left"/>
        <w:tblInd w:w="0" w:type="dxa"/>
        <w:tblCellMar>
          <w:top w:w="0" w:type="dxa"/>
          <w:left w:w="108" w:type="dxa"/>
          <w:bottom w:w="0" w:type="dxa"/>
          <w:right w:w="108" w:type="dxa"/>
        </w:tblCellMar>
      </w:tblPr>
      <w:tblGrid>
        <w:gridCol w:w="808"/>
        <w:gridCol w:w="3764"/>
        <w:gridCol w:w="5065"/>
      </w:tblGrid>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w:t>
            </w:r>
          </w:p>
        </w:tc>
        <w:tc>
          <w:tcPr>
            <w:tcW w:w="8829" w:type="dxa"/>
            <w:gridSpan w:val="2"/>
            <w:tcBorders/>
            <w:shd w:fill="auto" w:val="clear"/>
          </w:tcPr>
          <w:p>
            <w:pPr>
              <w:pStyle w:val="Normal"/>
              <w:spacing w:lineRule="auto" w:line="240" w:before="0" w:after="0"/>
              <w:jc w:val="both"/>
              <w:rPr>
                <w:rFonts w:ascii="Arial" w:hAnsi="Arial" w:eastAsia="Times New Roman" w:cs="Arial"/>
                <w:bCs/>
                <w:lang w:eastAsia="en-GB"/>
              </w:rPr>
            </w:pPr>
            <w:r>
              <w:rPr>
                <w:rFonts w:eastAsia="Times New Roman" w:cs="Arial" w:ascii="Arial" w:hAnsi="Arial"/>
                <w:bCs/>
                <w:lang w:eastAsia="en-GB"/>
              </w:rPr>
              <w:t xml:space="preserve">To support the Head of Strategic Commissioning and Principal Commissioning Officer in commissioning activity involving partners such as statutory bodies, service user groups and providers.  </w:t>
            </w:r>
          </w:p>
          <w:p>
            <w:pPr>
              <w:pStyle w:val="Normal"/>
              <w:spacing w:lineRule="auto" w:line="240" w:before="0" w:after="0"/>
              <w:jc w:val="both"/>
              <w:rPr>
                <w:rFonts w:ascii="Arial" w:hAnsi="Arial" w:cs="Arial"/>
                <w:b/>
                <w:b/>
              </w:rPr>
            </w:pPr>
            <w:r>
              <w:rPr>
                <w:rFonts w:cs="Arial" w:ascii="Arial" w:hAnsi="Arial"/>
                <w:b/>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2</w:t>
            </w:r>
          </w:p>
        </w:tc>
        <w:tc>
          <w:tcPr>
            <w:tcW w:w="8829" w:type="dxa"/>
            <w:gridSpan w:val="2"/>
            <w:tcBorders/>
            <w:shd w:fill="auto" w:val="clear"/>
          </w:tcPr>
          <w:p>
            <w:pPr>
              <w:pStyle w:val="Normal"/>
              <w:spacing w:lineRule="auto" w:line="240" w:before="0" w:after="0"/>
              <w:rPr>
                <w:rFonts w:ascii="Arial" w:hAnsi="Arial" w:eastAsia="Times New Roman" w:cs="Arial"/>
                <w:color w:val="000000"/>
                <w:lang w:eastAsia="en-GB"/>
              </w:rPr>
            </w:pPr>
            <w:r>
              <w:rPr>
                <w:rFonts w:eastAsia="Times New Roman" w:cs="Arial" w:ascii="Arial" w:hAnsi="Arial"/>
                <w:color w:val="000000"/>
                <w:lang w:eastAsia="en-GB"/>
              </w:rPr>
              <w:t>To develop, introduce and implement commissioning plans, strategies and contribute to the LAC Sufficiency Strategy and local market shaping.</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3</w:t>
            </w:r>
          </w:p>
        </w:tc>
        <w:tc>
          <w:tcPr>
            <w:tcW w:w="8829" w:type="dxa"/>
            <w:gridSpan w:val="2"/>
            <w:tcBorders/>
            <w:shd w:fill="auto" w:val="clear"/>
          </w:tcPr>
          <w:p>
            <w:pPr>
              <w:pStyle w:val="Normal"/>
              <w:spacing w:lineRule="auto" w:line="240" w:before="0" w:after="0"/>
              <w:rPr>
                <w:rFonts w:ascii="Arial" w:hAnsi="Arial" w:eastAsia="Times New Roman" w:cs="Arial"/>
                <w:color w:val="000000"/>
                <w:lang w:eastAsia="en-GB"/>
              </w:rPr>
            </w:pPr>
            <w:r>
              <w:rPr>
                <w:rFonts w:eastAsia="Times New Roman" w:cs="Arial" w:ascii="Arial" w:hAnsi="Arial"/>
                <w:color w:val="000000"/>
                <w:lang w:eastAsia="en-GB"/>
              </w:rPr>
              <w:t>To collate data and evidence from multiple sources and conduct a thorough and objective analysis of data relating to need, demand, market performance and market quality, translating this evidence base into options appraisals and commissioning recommendations.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4</w:t>
            </w:r>
          </w:p>
        </w:tc>
        <w:tc>
          <w:tcPr>
            <w:tcW w:w="8829" w:type="dxa"/>
            <w:gridSpan w:val="2"/>
            <w:tcBorders/>
            <w:shd w:fill="auto" w:val="clear"/>
          </w:tcPr>
          <w:p>
            <w:pPr>
              <w:pStyle w:val="Normal"/>
              <w:spacing w:lineRule="auto" w:line="240" w:before="0" w:after="0"/>
              <w:rPr>
                <w:rFonts w:ascii="Arial" w:hAnsi="Arial" w:eastAsia="Times New Roman" w:cs="Arial"/>
                <w:color w:val="000000"/>
                <w:lang w:eastAsia="en-GB"/>
              </w:rPr>
            </w:pPr>
            <w:r>
              <w:rPr>
                <w:rFonts w:eastAsia="Times New Roman" w:cs="Arial" w:ascii="Arial" w:hAnsi="Arial"/>
                <w:color w:val="000000"/>
                <w:lang w:eastAsia="en-GB"/>
              </w:rPr>
              <w:t>To redesign services and develop new service models: ensuring that the Council’s core priorities of value for money, quality and effectiveness remain paramount.</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5</w:t>
            </w:r>
          </w:p>
        </w:tc>
        <w:tc>
          <w:tcPr>
            <w:tcW w:w="8829" w:type="dxa"/>
            <w:gridSpan w:val="2"/>
            <w:tcBorders/>
            <w:shd w:fill="auto" w:val="clear"/>
          </w:tcPr>
          <w:p>
            <w:pPr>
              <w:pStyle w:val="Normal"/>
              <w:spacing w:lineRule="auto" w:line="240" w:before="0" w:after="0"/>
              <w:rPr>
                <w:rFonts w:ascii="Arial" w:hAnsi="Arial" w:eastAsia="Times New Roman" w:cs="Arial"/>
                <w:color w:val="000000"/>
                <w:lang w:eastAsia="en-GB"/>
              </w:rPr>
            </w:pPr>
            <w:r>
              <w:rPr>
                <w:rFonts w:eastAsia="Times New Roman" w:cs="Arial" w:ascii="Arial" w:hAnsi="Arial"/>
                <w:color w:val="000000"/>
                <w:lang w:eastAsia="en-GB"/>
              </w:rPr>
              <w:t>To liaise and consult with key partners including the VCSE sector, to co-design and co-produce community and provider engagement activities; ensuring that the views of local people are incorporated into service specifications, service reviews, commissioning plans, commissioning strategies and quality frameworks.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6</w:t>
            </w:r>
          </w:p>
        </w:tc>
        <w:tc>
          <w:tcPr>
            <w:tcW w:w="8829" w:type="dxa"/>
            <w:gridSpan w:val="2"/>
            <w:tcBorders/>
            <w:shd w:fill="auto" w:val="clear"/>
          </w:tcPr>
          <w:p>
            <w:pPr>
              <w:pStyle w:val="Normal"/>
              <w:spacing w:lineRule="auto" w:line="240" w:before="0" w:after="0"/>
              <w:jc w:val="both"/>
              <w:rPr>
                <w:rFonts w:ascii="Arial" w:hAnsi="Arial" w:eastAsia="Times New Roman" w:cs="Arial"/>
                <w:color w:val="000000"/>
                <w:lang w:eastAsia="en-GB"/>
              </w:rPr>
            </w:pPr>
            <w:r>
              <w:rPr>
                <w:rFonts w:eastAsia="Times New Roman" w:cs="Arial" w:ascii="Arial" w:hAnsi="Arial"/>
                <w:color w:val="000000"/>
                <w:lang w:eastAsia="en-GB"/>
              </w:rPr>
              <w:t xml:space="preserve">To liaise with key council officers on the robust development of Equality Impact Assessments and to ensure risks are managed. </w:t>
            </w:r>
          </w:p>
          <w:p>
            <w:pPr>
              <w:pStyle w:val="Normal"/>
              <w:spacing w:lineRule="auto" w:line="240" w:before="0" w:after="0"/>
              <w:jc w:val="both"/>
              <w:rPr>
                <w:rFonts w:ascii="Arial" w:hAnsi="Arial" w:cs="Arial"/>
              </w:rPr>
            </w:pPr>
            <w:r>
              <w:rPr>
                <w:rFonts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7</w:t>
            </w:r>
          </w:p>
        </w:tc>
        <w:tc>
          <w:tcPr>
            <w:tcW w:w="8829" w:type="dxa"/>
            <w:gridSpan w:val="2"/>
            <w:tcBorders/>
            <w:shd w:fill="auto" w:val="clear"/>
          </w:tcPr>
          <w:p>
            <w:pPr>
              <w:pStyle w:val="Normal"/>
              <w:spacing w:lineRule="auto" w:line="240" w:before="0" w:after="0"/>
              <w:jc w:val="both"/>
              <w:rPr>
                <w:rFonts w:ascii="Arial" w:hAnsi="Arial" w:eastAsia="Times New Roman" w:cs="Arial"/>
                <w:color w:val="000000"/>
                <w:lang w:eastAsia="en-GB"/>
              </w:rPr>
            </w:pPr>
            <w:r>
              <w:rPr>
                <w:rFonts w:eastAsia="Times New Roman" w:cs="Arial" w:ascii="Arial" w:hAnsi="Arial"/>
                <w:color w:val="000000"/>
                <w:lang w:eastAsia="en-GB"/>
              </w:rPr>
              <w:t>To undertake market analysis and develop activities/services/partnerships/multi-agency initiatives in line with the council’s key priorities.</w:t>
            </w:r>
          </w:p>
          <w:p>
            <w:pPr>
              <w:pStyle w:val="Normal"/>
              <w:spacing w:lineRule="auto" w:line="240" w:before="0" w:after="0"/>
              <w:jc w:val="both"/>
              <w:rPr>
                <w:rFonts w:ascii="Arial" w:hAnsi="Arial" w:cs="Arial"/>
              </w:rPr>
            </w:pPr>
            <w:r>
              <w:rPr>
                <w:rFonts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8</w:t>
            </w:r>
          </w:p>
        </w:tc>
        <w:tc>
          <w:tcPr>
            <w:tcW w:w="8829" w:type="dxa"/>
            <w:gridSpan w:val="2"/>
            <w:tcBorders/>
            <w:shd w:fill="auto" w:val="clear"/>
          </w:tcPr>
          <w:p>
            <w:pPr>
              <w:pStyle w:val="Normal"/>
              <w:spacing w:lineRule="auto" w:line="240" w:before="0" w:after="0"/>
              <w:rPr>
                <w:rFonts w:ascii="Arial" w:hAnsi="Arial" w:eastAsia="Times New Roman" w:cs="Arial"/>
                <w:lang w:eastAsia="en-GB"/>
              </w:rPr>
            </w:pPr>
            <w:r>
              <w:rPr>
                <w:rFonts w:eastAsia="Times New Roman" w:cs="Arial" w:ascii="Arial" w:hAnsi="Arial"/>
                <w:lang w:eastAsia="en-GB"/>
              </w:rPr>
              <w:t>To have a shared role with other commissioning colleagues in developing policies, protocols and practices which ensure the delivery of contracts/service level agreements/funding agreement requirements.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9</w:t>
            </w:r>
          </w:p>
        </w:tc>
        <w:tc>
          <w:tcPr>
            <w:tcW w:w="8829" w:type="dxa"/>
            <w:gridSpan w:val="2"/>
            <w:tcBorders/>
            <w:shd w:fill="auto" w:val="clear"/>
          </w:tcPr>
          <w:p>
            <w:pPr>
              <w:pStyle w:val="Normal"/>
              <w:spacing w:lineRule="auto" w:line="240" w:before="0" w:after="0"/>
              <w:rPr>
                <w:rFonts w:ascii="Arial" w:hAnsi="Arial" w:cs="Arial"/>
                <w:color w:val="000000"/>
              </w:rPr>
            </w:pPr>
            <w:r>
              <w:rPr>
                <w:rFonts w:cs="Arial" w:ascii="Arial" w:hAnsi="Arial"/>
                <w:color w:val="000000"/>
              </w:rPr>
              <w:t>To work closely with the quality assurance and improvement team, regulatory bodies and relevant partners to report and understand the contract performance of services.</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10</w:t>
            </w:r>
          </w:p>
        </w:tc>
        <w:tc>
          <w:tcPr>
            <w:tcW w:w="8829" w:type="dxa"/>
            <w:gridSpan w:val="2"/>
            <w:tcBorders/>
            <w:shd w:fill="auto" w:val="clear"/>
          </w:tcPr>
          <w:p>
            <w:pPr>
              <w:pStyle w:val="Normal"/>
              <w:spacing w:lineRule="auto" w:line="240" w:before="0" w:after="0"/>
              <w:jc w:val="both"/>
              <w:rPr>
                <w:rFonts w:ascii="Arial" w:hAnsi="Arial" w:eastAsia="Times New Roman" w:cs="Arial"/>
                <w:lang w:eastAsia="en-GB"/>
              </w:rPr>
            </w:pPr>
            <w:r>
              <w:rPr>
                <w:rFonts w:eastAsia="Times New Roman" w:cs="Arial" w:ascii="Arial" w:hAnsi="Arial"/>
                <w:lang w:eastAsia="en-GB"/>
              </w:rPr>
              <w:t xml:space="preserve">To project manage specific projects and provide support to other council programmes as relevant and required. </w:t>
            </w:r>
          </w:p>
          <w:p>
            <w:pPr>
              <w:pStyle w:val="Normal"/>
              <w:spacing w:lineRule="auto" w:line="240" w:before="0" w:after="0"/>
              <w:jc w:val="both"/>
              <w:rPr>
                <w:rFonts w:ascii="Arial" w:hAnsi="Arial" w:cs="Arial"/>
              </w:rPr>
            </w:pPr>
            <w:r>
              <w:rPr>
                <w:rFonts w:cs="Arial" w:ascii="Arial" w:hAnsi="Arial"/>
              </w:rPr>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11</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To co-design commissioning strategies and plans with key partners and stakeholders, ensuring that those commissioning plans are based on strong, provider, user, carer and citizen consultation, analysis of service user needs and the market.</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12</w:t>
            </w:r>
          </w:p>
        </w:tc>
        <w:tc>
          <w:tcPr>
            <w:tcW w:w="8829" w:type="dxa"/>
            <w:gridSpan w:val="2"/>
            <w:tcBorders/>
            <w:shd w:fill="auto" w:val="clear"/>
          </w:tcPr>
          <w:p>
            <w:pPr>
              <w:pStyle w:val="Normal"/>
              <w:spacing w:lineRule="auto" w:line="240" w:before="0" w:after="0"/>
              <w:rPr>
                <w:rFonts w:ascii="Arial" w:hAnsi="Arial" w:cs="Arial"/>
                <w:bCs/>
              </w:rPr>
            </w:pPr>
            <w:r>
              <w:rPr>
                <w:rFonts w:cs="Arial" w:ascii="Arial" w:hAnsi="Arial"/>
                <w:bCs/>
              </w:rPr>
              <w:t>To deliver activity and specific projects that develop commissioning/procurement approaches to health and social care services for children and young people, which improve outcomes for services users and improve value for money for the Council.</w:t>
            </w:r>
          </w:p>
        </w:tc>
      </w:tr>
      <w:tr>
        <w:trPr>
          <w:trHeight w:val="506" w:hRule="atLeast"/>
        </w:trPr>
        <w:tc>
          <w:tcPr>
            <w:tcW w:w="808" w:type="dxa"/>
            <w:tcBorders/>
            <w:shd w:fill="auto" w:val="clear"/>
          </w:tcPr>
          <w:p>
            <w:pPr>
              <w:pStyle w:val="Normal"/>
              <w:spacing w:lineRule="auto" w:line="240" w:before="0" w:after="0"/>
              <w:rPr>
                <w:rFonts w:ascii="Arial" w:hAnsi="Arial" w:cs="Arial"/>
                <w:b/>
                <w:b/>
              </w:rPr>
            </w:pPr>
            <w:r>
              <w:rPr>
                <w:rFonts w:cs="Arial" w:ascii="Arial" w:hAnsi="Arial"/>
                <w:b/>
              </w:rPr>
              <w:t>13</w:t>
            </w:r>
          </w:p>
        </w:tc>
        <w:tc>
          <w:tcPr>
            <w:tcW w:w="8829" w:type="dxa"/>
            <w:gridSpan w:val="2"/>
            <w:tcBorders/>
            <w:shd w:fill="auto" w:val="clear"/>
          </w:tcPr>
          <w:p>
            <w:pPr>
              <w:pStyle w:val="Normal"/>
              <w:spacing w:lineRule="auto" w:line="240" w:before="0" w:after="0"/>
              <w:rPr>
                <w:rFonts w:ascii="Arial" w:hAnsi="Arial" w:eastAsia="Times New Roman" w:cs="Arial"/>
                <w:lang w:eastAsia="en-GB"/>
              </w:rPr>
            </w:pPr>
            <w:r>
              <w:rPr>
                <w:rFonts w:eastAsia="Times New Roman" w:cs="Arial" w:ascii="Arial" w:hAnsi="Arial"/>
                <w:lang w:eastAsia="en-GB"/>
              </w:rPr>
              <w:t>To undertake any other reasonable duties as directed by the Head of Service.</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Date Job Description updated:</w:t>
            </w:r>
          </w:p>
        </w:tc>
        <w:tc>
          <w:tcPr>
            <w:tcW w:w="5065" w:type="dxa"/>
            <w:tcBorders/>
            <w:shd w:fill="auto" w:val="clear"/>
          </w:tcPr>
          <w:p>
            <w:pPr>
              <w:pStyle w:val="Normal"/>
              <w:spacing w:lineRule="auto" w:line="240" w:before="0" w:after="0"/>
              <w:rPr>
                <w:rFonts w:ascii="Arial" w:hAnsi="Arial" w:cs="Arial"/>
                <w:b/>
                <w:b/>
              </w:rPr>
            </w:pPr>
            <w:r>
              <w:rPr>
                <w:rFonts w:cs="Arial" w:ascii="Arial" w:hAnsi="Arial"/>
                <w:b/>
              </w:rPr>
              <w:t>18.06.2026</w:t>
            </w:r>
          </w:p>
        </w:tc>
      </w:tr>
      <w:tr>
        <w:trPr/>
        <w:tc>
          <w:tcPr>
            <w:tcW w:w="4572" w:type="dxa"/>
            <w:gridSpan w:val="2"/>
            <w:tcBorders/>
            <w:shd w:fill="auto" w:val="clear"/>
          </w:tcPr>
          <w:p>
            <w:pPr>
              <w:pStyle w:val="Normal"/>
              <w:spacing w:lineRule="auto" w:line="240" w:before="0" w:after="0"/>
              <w:rPr>
                <w:rFonts w:ascii="Arial" w:hAnsi="Arial" w:cs="Arial"/>
                <w:b/>
                <w:b/>
              </w:rPr>
            </w:pPr>
            <w:r>
              <w:rPr>
                <w:rFonts w:cs="Arial" w:ascii="Arial" w:hAnsi="Arial"/>
                <w:b/>
              </w:rPr>
              <w:t>Job Description prepared by:</w:t>
            </w:r>
          </w:p>
        </w:tc>
        <w:tc>
          <w:tcPr>
            <w:tcW w:w="5065" w:type="dxa"/>
            <w:tcBorders/>
            <w:shd w:fill="auto" w:val="clear"/>
          </w:tcPr>
          <w:p>
            <w:pPr>
              <w:pStyle w:val="Normal"/>
              <w:spacing w:lineRule="auto" w:line="240" w:before="0" w:after="0"/>
              <w:rPr>
                <w:rFonts w:ascii="Arial" w:hAnsi="Arial" w:eastAsia="Times New Roman" w:cs="Arial"/>
                <w:b/>
                <w:b/>
                <w:szCs w:val="20"/>
                <w:lang w:eastAsia="en-GB"/>
              </w:rPr>
            </w:pPr>
            <w:r>
              <w:rPr>
                <w:rFonts w:eastAsia="Times New Roman" w:cs="Arial" w:ascii="Arial" w:hAnsi="Arial"/>
                <w:b/>
                <w:szCs w:val="20"/>
                <w:lang w:eastAsia="en-GB"/>
              </w:rPr>
              <w:t>Head of Strategic Commissioning</w:t>
            </w:r>
          </w:p>
        </w:tc>
      </w:tr>
    </w:tbl>
    <w:p>
      <w:pPr>
        <w:pStyle w:val="Normal"/>
        <w:rPr/>
      </w:pPr>
      <w:r>
        <w:rPr/>
      </w:r>
    </w:p>
    <w:p>
      <w:pPr>
        <w:pStyle w:val="Normal"/>
        <w:rPr>
          <w:b/>
          <w:b/>
          <w:bCs/>
          <w:sz w:val="40"/>
          <w:szCs w:val="40"/>
        </w:rPr>
      </w:pPr>
      <w:r>
        <w:rPr>
          <w:b/>
          <w:bCs/>
          <w:sz w:val="40"/>
          <w:szCs w:val="40"/>
        </w:rPr>
        <w:t>Person Specification</w:t>
      </w:r>
    </w:p>
    <w:tbl>
      <w:tblPr>
        <w:tblW w:w="9638" w:type="dxa"/>
        <w:jc w:val="left"/>
        <w:tblInd w:w="0" w:type="dxa"/>
        <w:tblCellMar>
          <w:top w:w="0" w:type="dxa"/>
          <w:left w:w="108" w:type="dxa"/>
          <w:bottom w:w="0" w:type="dxa"/>
          <w:right w:w="108" w:type="dxa"/>
        </w:tblCellMar>
      </w:tblPr>
      <w:tblGrid>
        <w:gridCol w:w="674"/>
        <w:gridCol w:w="914"/>
        <w:gridCol w:w="134"/>
        <w:gridCol w:w="4090"/>
        <w:gridCol w:w="393"/>
        <w:gridCol w:w="3423"/>
        <w:gridCol w:w="10"/>
      </w:tblGrid>
      <w:tr>
        <w:trPr/>
        <w:tc>
          <w:tcPr>
            <w:tcW w:w="1588" w:type="dxa"/>
            <w:gridSpan w:val="2"/>
            <w:tcBorders/>
            <w:shd w:fill="auto" w:val="clear"/>
          </w:tcPr>
          <w:p>
            <w:pPr>
              <w:pStyle w:val="Normal"/>
              <w:spacing w:lineRule="auto" w:line="240" w:before="60" w:after="60"/>
              <w:rPr>
                <w:rFonts w:ascii="Arial" w:hAnsi="Arial" w:cs="Arial"/>
                <w:b/>
                <w:b/>
              </w:rPr>
            </w:pPr>
            <w:r>
              <w:rPr>
                <w:rFonts w:cs="Arial" w:ascii="Arial" w:hAnsi="Arial"/>
                <w:b/>
              </w:rPr>
              <w:t>Department</w:t>
            </w:r>
          </w:p>
        </w:tc>
        <w:tc>
          <w:tcPr>
            <w:tcW w:w="8040" w:type="dxa"/>
            <w:gridSpan w:val="4"/>
            <w:tcBorders/>
            <w:shd w:fill="auto" w:val="clear"/>
          </w:tcPr>
          <w:p>
            <w:pPr>
              <w:pStyle w:val="Normal"/>
              <w:spacing w:lineRule="auto" w:line="240" w:before="60" w:after="60"/>
              <w:rPr>
                <w:rFonts w:ascii="Arial" w:hAnsi="Arial" w:cs="Arial"/>
                <w:b/>
                <w:b/>
                <w:caps/>
              </w:rPr>
            </w:pPr>
            <w:r>
              <w:rPr>
                <w:rFonts w:cs="Arial" w:ascii="Arial" w:hAnsi="Arial"/>
                <w:b/>
                <w:caps/>
              </w:rPr>
              <w:t>START WELL</w:t>
            </w:r>
          </w:p>
        </w:tc>
      </w:tr>
      <w:tr>
        <w:trPr/>
        <w:tc>
          <w:tcPr>
            <w:tcW w:w="1588" w:type="dxa"/>
            <w:gridSpan w:val="2"/>
            <w:tcBorders>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Job Title</w:t>
            </w:r>
          </w:p>
        </w:tc>
        <w:tc>
          <w:tcPr>
            <w:tcW w:w="8040" w:type="dxa"/>
            <w:gridSpan w:val="4"/>
            <w:tcBorders>
              <w:bottom w:val="single" w:sz="4" w:space="0" w:color="000000"/>
            </w:tcBorders>
            <w:shd w:fill="auto" w:val="clear"/>
          </w:tcPr>
          <w:p>
            <w:pPr>
              <w:pStyle w:val="Normal"/>
              <w:spacing w:lineRule="auto" w:line="240" w:before="60" w:after="60"/>
              <w:rPr>
                <w:rFonts w:ascii="Arial" w:hAnsi="Arial" w:eastAsia="Calibri" w:cs="Arial"/>
                <w:b/>
                <w:b/>
                <w:caps/>
              </w:rPr>
            </w:pPr>
            <w:r>
              <w:rPr>
                <w:rFonts w:eastAsia="Calibri" w:cs="Arial" w:ascii="Arial" w:hAnsi="Arial"/>
                <w:b/>
                <w:caps/>
              </w:rPr>
              <w:t>Commissioning Officer</w:t>
            </w:r>
          </w:p>
        </w:tc>
      </w:tr>
      <w:tr>
        <w:trPr/>
        <w:tc>
          <w:tcPr>
            <w:tcW w:w="1588" w:type="dxa"/>
            <w:gridSpan w:val="2"/>
            <w:tcBorders>
              <w:top w:val="single" w:sz="4" w:space="0" w:color="000000"/>
              <w:left w:val="single" w:sz="4" w:space="0" w:color="000000"/>
              <w:bottom w:val="single" w:sz="4" w:space="0" w:color="000000"/>
            </w:tcBorders>
            <w:shd w:fill="auto" w:val="clear"/>
          </w:tcPr>
          <w:p>
            <w:pPr>
              <w:pStyle w:val="Normal"/>
              <w:spacing w:lineRule="auto" w:line="240" w:before="60" w:after="240"/>
              <w:rPr>
                <w:rFonts w:ascii="Arial" w:hAnsi="Arial" w:cs="Arial"/>
                <w:b/>
                <w:b/>
              </w:rPr>
            </w:pPr>
            <w:r>
              <w:rPr>
                <w:rFonts w:cs="Arial" w:ascii="Arial" w:hAnsi="Arial"/>
                <w:b/>
              </w:rPr>
              <w:t>Stage One</w:t>
            </w:r>
          </w:p>
        </w:tc>
        <w:tc>
          <w:tcPr>
            <w:tcW w:w="8050" w:type="dxa"/>
            <w:gridSpan w:val="4"/>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60" w:after="60"/>
              <w:rPr/>
            </w:pPr>
            <w:r>
              <w:rPr>
                <w:rFonts w:cs="Arial" w:ascii="Arial" w:hAnsi="Arial"/>
                <w:bCs/>
              </w:rPr>
              <w:t xml:space="preserve">Candidates who are care leavers, have a disability, are ex-armed forces or are a carer (see </w:t>
            </w:r>
            <w:r>
              <w:rPr>
                <w:rStyle w:val="InternetLink"/>
              </w:rPr>
              <w:t>Carers-Charter-FINAL.pdf (gmhsc.org.uk)</w:t>
            </w:r>
            <w:r>
              <w:rPr/>
              <w:t xml:space="preserve"> </w:t>
            </w:r>
            <w:r>
              <w:rPr>
                <w:rFonts w:cs="Arial" w:ascii="Arial" w:hAnsi="Arial"/>
                <w:bCs/>
              </w:rPr>
              <w:t xml:space="preserve">are guaranteed an interview if they meet the essential criteria for the role </w:t>
            </w:r>
          </w:p>
        </w:tc>
      </w:tr>
      <w:tr>
        <w:trPr/>
        <w:tc>
          <w:tcPr>
            <w:tcW w:w="6205" w:type="dxa"/>
            <w:gridSpan w:val="5"/>
            <w:tcBorders>
              <w:top w:val="single" w:sz="4" w:space="0" w:color="000000"/>
              <w:lef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The Minimum Essential Requirements for the above Post are as Follows:</w:t>
            </w:r>
          </w:p>
        </w:tc>
        <w:tc>
          <w:tcPr>
            <w:tcW w:w="3433" w:type="dxa"/>
            <w:tcBorders>
              <w:top w:val="single" w:sz="4" w:space="0" w:color="000000"/>
              <w:left w:val="single" w:sz="4" w:space="0" w:color="000000"/>
              <w:right w:val="single" w:sz="4" w:space="0" w:color="000000"/>
            </w:tcBorders>
            <w:shd w:fill="000000" w:val="clear"/>
          </w:tcPr>
          <w:p>
            <w:pPr>
              <w:pStyle w:val="Normal"/>
              <w:spacing w:lineRule="auto" w:line="240" w:before="60" w:after="60"/>
              <w:rPr>
                <w:rFonts w:ascii="Arial" w:hAnsi="Arial" w:cs="Arial"/>
                <w:b/>
                <w:b/>
                <w:color w:val="FFFFFF"/>
              </w:rPr>
            </w:pPr>
            <w:r>
              <w:rPr>
                <w:rFonts w:cs="Arial" w:ascii="Arial" w:hAnsi="Arial"/>
                <w:b/>
                <w:color w:val="FFFFFF"/>
              </w:rPr>
              <w:t>Method of Assessment</w:t>
            </w:r>
          </w:p>
        </w:tc>
      </w:tr>
      <w:tr>
        <w:trPr>
          <w:cantSplit w:val="true"/>
        </w:trPr>
        <w:tc>
          <w:tcPr>
            <w:tcW w:w="674" w:type="dxa"/>
            <w:tcBorders>
              <w:bottom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r>
          </w:p>
        </w:tc>
        <w:tc>
          <w:tcPr>
            <w:tcW w:w="8954" w:type="dxa"/>
            <w:gridSpan w:val="5"/>
            <w:tcBorders>
              <w:bottom w:val="single" w:sz="4" w:space="0" w:color="000000"/>
            </w:tcBorders>
            <w:shd w:fill="D9D9D9" w:val="clear"/>
          </w:tcPr>
          <w:p>
            <w:pPr>
              <w:pStyle w:val="Normal"/>
              <w:spacing w:lineRule="auto" w:line="240" w:before="60" w:after="60"/>
              <w:rPr>
                <w:rFonts w:ascii="Arial" w:hAnsi="Arial" w:cs="Arial"/>
                <w:b/>
                <w:b/>
              </w:rPr>
            </w:pPr>
            <w:bookmarkStart w:id="0" w:name="_Hlk145942074"/>
            <w:r>
              <w:rPr>
                <w:rFonts w:cs="Arial" w:ascii="Arial" w:hAnsi="Arial"/>
                <w:b/>
              </w:rPr>
              <w:t>Skills and Knowledge</w:t>
            </w:r>
            <w:bookmarkEnd w:id="0"/>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31" w:type="dxa"/>
            <w:gridSpan w:val="4"/>
            <w:tcBorders>
              <w:top w:val="single" w:sz="4" w:space="0" w:color="000000"/>
              <w:bottom w:val="single" w:sz="4" w:space="0" w:color="000000"/>
            </w:tcBorders>
            <w:shd w:fill="auto" w:val="clear"/>
          </w:tcPr>
          <w:p>
            <w:pPr>
              <w:pStyle w:val="Normal"/>
              <w:spacing w:lineRule="auto" w:line="240" w:before="0" w:after="0"/>
              <w:rPr/>
            </w:pPr>
            <w:r>
              <w:rPr>
                <w:rFonts w:eastAsia="Times New Roman" w:cs="Arial" w:ascii="Arial" w:hAnsi="Arial"/>
                <w:lang w:eastAsia="en-GB"/>
              </w:rPr>
              <w:t xml:space="preserve">Demonstrate a good understanding of the management and operation of Health and Social Care Services, and the </w:t>
            </w:r>
            <w:r>
              <w:rPr>
                <w:rFonts w:eastAsia="Calibri" w:cs="Arial" w:ascii="Arial" w:hAnsi="Arial"/>
                <w:lang w:eastAsia="en-GB"/>
              </w:rPr>
              <w:t xml:space="preserve">legal and regulatory frameworks relating to the commissioning of services by public bodies.   </w:t>
            </w:r>
          </w:p>
          <w:p>
            <w:pPr>
              <w:pStyle w:val="Normal"/>
              <w:spacing w:lineRule="auto" w:line="240" w:before="120" w:after="120"/>
              <w:ind w:left="0" w:right="175" w:hanging="0"/>
              <w:rPr>
                <w:rFonts w:ascii="Arial" w:hAnsi="Arial" w:cs="Arial"/>
              </w:rPr>
            </w:pPr>
            <w:r>
              <w:rPr>
                <w:rFonts w:cs="Arial" w:ascii="Arial" w:hAnsi="Arial"/>
              </w:rPr>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Application / Interview / Presentation</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eastAsia="Times New Roman" w:cs="Arial"/>
                <w:lang w:eastAsia="en-GB"/>
              </w:rPr>
            </w:pPr>
            <w:r>
              <w:rPr>
                <w:rFonts w:eastAsia="Times New Roman" w:cs="Arial" w:ascii="Arial" w:hAnsi="Arial"/>
                <w:lang w:eastAsia="en-GB"/>
              </w:rPr>
              <w:t>Demonstrate a detailed understanding of the potential impact and risk management on stakeholders of commissioning, staffing and contracting decisions.</w:t>
            </w:r>
          </w:p>
        </w:tc>
        <w:tc>
          <w:tcPr>
            <w:tcW w:w="3423" w:type="dxa"/>
            <w:tcBorders>
              <w:top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Interview / Presentation</w:t>
            </w:r>
          </w:p>
          <w:p>
            <w:pPr>
              <w:pStyle w:val="Normal"/>
              <w:spacing w:lineRule="auto" w:line="240" w:before="120" w:after="120"/>
              <w:rPr>
                <w:rFonts w:ascii="Arial" w:hAnsi="Arial" w:cs="Arial"/>
              </w:rPr>
            </w:pPr>
            <w:r>
              <w:rPr>
                <w:rFonts w:cs="Arial" w:ascii="Arial" w:hAnsi="Arial"/>
              </w:rPr>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3.</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ind w:left="0" w:right="175" w:hanging="0"/>
              <w:rPr>
                <w:rFonts w:ascii="Arial" w:hAnsi="Arial" w:eastAsia="Times New Roman" w:cs="Arial"/>
                <w:lang w:eastAsia="en-GB"/>
              </w:rPr>
            </w:pPr>
            <w:r>
              <w:rPr>
                <w:rFonts w:eastAsia="Times New Roman" w:cs="Arial" w:ascii="Arial" w:hAnsi="Arial"/>
                <w:lang w:eastAsia="en-GB"/>
              </w:rPr>
              <w:t>Ability to understand, develop and explain complex information to a variety of audiences. This may be qualitative or quantitative information</w:t>
            </w:r>
          </w:p>
        </w:tc>
        <w:tc>
          <w:tcPr>
            <w:tcW w:w="3423" w:type="dxa"/>
            <w:tcBorders>
              <w:top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Interview / Presentation</w:t>
            </w:r>
          </w:p>
          <w:p>
            <w:pPr>
              <w:pStyle w:val="Normal"/>
              <w:spacing w:lineRule="auto" w:line="240" w:before="120" w:after="120"/>
              <w:rPr>
                <w:rFonts w:ascii="Arial" w:hAnsi="Arial" w:cs="Arial"/>
              </w:rPr>
            </w:pPr>
            <w:r>
              <w:rPr>
                <w:rFonts w:cs="Arial" w:ascii="Arial" w:hAnsi="Arial"/>
              </w:rPr>
            </w:r>
          </w:p>
        </w:tc>
      </w:tr>
      <w:tr>
        <w:trPr>
          <w:cantSplit w:val="true"/>
        </w:trPr>
        <w:tc>
          <w:tcPr>
            <w:tcW w:w="67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4.</w:t>
            </w:r>
          </w:p>
        </w:tc>
        <w:tc>
          <w:tcPr>
            <w:tcW w:w="5531" w:type="dxa"/>
            <w:gridSpan w:val="4"/>
            <w:tcBorders>
              <w:bottom w:val="single" w:sz="4" w:space="0" w:color="000000"/>
            </w:tcBorders>
            <w:shd w:fill="auto" w:val="clear"/>
          </w:tcPr>
          <w:p>
            <w:pPr>
              <w:pStyle w:val="Normal"/>
              <w:spacing w:lineRule="auto" w:line="240" w:before="120" w:after="120"/>
              <w:ind w:left="0" w:right="175" w:hanging="0"/>
              <w:rPr>
                <w:rFonts w:ascii="Arial" w:hAnsi="Arial" w:eastAsia="Calibri" w:cs="Arial"/>
              </w:rPr>
            </w:pPr>
            <w:r>
              <w:rPr>
                <w:rFonts w:eastAsia="Calibri" w:cs="Arial" w:ascii="Arial" w:hAnsi="Arial"/>
              </w:rPr>
              <w:t xml:space="preserve">Demonstrate a high level of literacy. Including the ability to prepare and write reports, plans, strategies and other commissioning documentation (These may be short, medium, or long term).  </w:t>
            </w:r>
          </w:p>
        </w:tc>
        <w:tc>
          <w:tcPr>
            <w:tcW w:w="3423" w:type="dxa"/>
            <w:tcBorders>
              <w:bottom w:val="single" w:sz="4" w:space="0" w:color="000000"/>
            </w:tcBorders>
            <w:shd w:fill="auto" w:val="clear"/>
          </w:tcPr>
          <w:p>
            <w:pPr>
              <w:pStyle w:val="Normal"/>
              <w:spacing w:lineRule="auto" w:line="240" w:before="0" w:after="0"/>
              <w:rPr>
                <w:rFonts w:ascii="Arial" w:hAnsi="Arial" w:cs="Arial"/>
              </w:rPr>
            </w:pPr>
            <w:r>
              <w:rPr>
                <w:rFonts w:cs="Arial" w:ascii="Arial" w:hAnsi="Arial"/>
              </w:rPr>
              <w:t xml:space="preserve">Application / Interview / Presentation </w:t>
            </w:r>
          </w:p>
          <w:p>
            <w:pPr>
              <w:pStyle w:val="Normal"/>
              <w:spacing w:lineRule="auto" w:line="240" w:before="120" w:after="120"/>
              <w:rPr>
                <w:rFonts w:ascii="Arial" w:hAnsi="Arial" w:cs="Arial"/>
              </w:rPr>
            </w:pPr>
            <w:r>
              <w:rPr>
                <w:rFonts w:cs="Arial" w:ascii="Arial" w:hAnsi="Arial"/>
              </w:rPr>
            </w:r>
          </w:p>
        </w:tc>
      </w:tr>
      <w:tr>
        <w:trPr>
          <w:cantSplit w:val="true"/>
        </w:trPr>
        <w:tc>
          <w:tcPr>
            <w:tcW w:w="67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5.</w:t>
            </w:r>
          </w:p>
        </w:tc>
        <w:tc>
          <w:tcPr>
            <w:tcW w:w="5531" w:type="dxa"/>
            <w:gridSpan w:val="4"/>
            <w:tcBorders>
              <w:bottom w:val="single" w:sz="4" w:space="0" w:color="000000"/>
            </w:tcBorders>
            <w:shd w:fill="auto" w:val="clear"/>
          </w:tcPr>
          <w:p>
            <w:pPr>
              <w:pStyle w:val="Normal"/>
              <w:spacing w:lineRule="auto" w:line="240" w:before="120" w:after="120"/>
              <w:ind w:left="0" w:right="175" w:hanging="0"/>
              <w:rPr>
                <w:rFonts w:ascii="Arial" w:hAnsi="Arial" w:cs="Arial"/>
              </w:rPr>
            </w:pPr>
            <w:r>
              <w:rPr>
                <w:rFonts w:cs="Arial" w:ascii="Arial" w:hAnsi="Arial"/>
              </w:rPr>
              <w:t xml:space="preserve">Demonstrate a high level of numeracy and skills in analysing and interpreting data including financial and activity data.  </w:t>
            </w:r>
          </w:p>
        </w:tc>
        <w:tc>
          <w:tcPr>
            <w:tcW w:w="3423" w:type="dxa"/>
            <w:tcBorders>
              <w:bottom w:val="single" w:sz="4" w:space="0" w:color="000000"/>
            </w:tcBorders>
            <w:shd w:fill="auto" w:val="clear"/>
          </w:tcPr>
          <w:p>
            <w:pPr>
              <w:pStyle w:val="Normal"/>
              <w:spacing w:lineRule="auto" w:line="240" w:before="0" w:after="0"/>
              <w:rPr>
                <w:rFonts w:ascii="Arial" w:hAnsi="Arial" w:cs="Arial"/>
              </w:rPr>
            </w:pPr>
            <w:r>
              <w:rPr>
                <w:rFonts w:cs="Arial" w:ascii="Arial" w:hAnsi="Arial"/>
              </w:rPr>
              <w:t xml:space="preserve">Interview / Presentation </w:t>
            </w:r>
          </w:p>
          <w:p>
            <w:pPr>
              <w:pStyle w:val="Normal"/>
              <w:spacing w:lineRule="auto" w:line="240" w:before="120" w:after="120"/>
              <w:rPr>
                <w:rFonts w:ascii="Arial" w:hAnsi="Arial" w:cs="Arial"/>
              </w:rPr>
            </w:pPr>
            <w:r>
              <w:rPr>
                <w:rFonts w:cs="Arial" w:ascii="Arial" w:hAnsi="Arial"/>
              </w:rPr>
            </w:r>
          </w:p>
        </w:tc>
      </w:tr>
      <w:tr>
        <w:trPr>
          <w:cantSplit w:val="true"/>
        </w:trPr>
        <w:tc>
          <w:tcPr>
            <w:tcW w:w="67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6.</w:t>
            </w:r>
          </w:p>
        </w:tc>
        <w:tc>
          <w:tcPr>
            <w:tcW w:w="5531" w:type="dxa"/>
            <w:gridSpan w:val="4"/>
            <w:tcBorders>
              <w:bottom w:val="single" w:sz="4" w:space="0" w:color="000000"/>
            </w:tcBorders>
            <w:shd w:fill="auto" w:val="clear"/>
          </w:tcPr>
          <w:p>
            <w:pPr>
              <w:pStyle w:val="Normal"/>
              <w:spacing w:lineRule="auto" w:line="240" w:before="120" w:after="120"/>
              <w:ind w:left="0" w:right="175" w:hanging="0"/>
              <w:rPr>
                <w:rFonts w:ascii="Arial" w:hAnsi="Arial" w:eastAsia="Times New Roman" w:cs="Arial"/>
                <w:szCs w:val="20"/>
                <w:lang w:eastAsia="en-GB"/>
              </w:rPr>
            </w:pPr>
            <w:r>
              <w:rPr>
                <w:rFonts w:eastAsia="Times New Roman" w:cs="Arial" w:ascii="Arial" w:hAnsi="Arial"/>
                <w:szCs w:val="20"/>
                <w:lang w:eastAsia="en-GB"/>
              </w:rPr>
              <w:t xml:space="preserve">Ability to assist with service provider changes and facilitate market change.  </w:t>
            </w:r>
          </w:p>
        </w:tc>
        <w:tc>
          <w:tcPr>
            <w:tcW w:w="3423" w:type="dxa"/>
            <w:tcBorders>
              <w:bottom w:val="single" w:sz="4" w:space="0" w:color="000000"/>
            </w:tcBorders>
            <w:shd w:fill="auto" w:val="clear"/>
          </w:tcPr>
          <w:p>
            <w:pPr>
              <w:pStyle w:val="Normal"/>
              <w:spacing w:lineRule="auto" w:line="240" w:before="0" w:after="0"/>
              <w:rPr>
                <w:rFonts w:ascii="Arial" w:hAnsi="Arial" w:cs="Arial"/>
              </w:rPr>
            </w:pPr>
            <w:r>
              <w:rPr>
                <w:rFonts w:cs="Arial" w:ascii="Arial" w:hAnsi="Arial"/>
              </w:rPr>
              <w:t xml:space="preserve">Interview / Presentation </w:t>
            </w:r>
          </w:p>
          <w:p>
            <w:pPr>
              <w:pStyle w:val="Normal"/>
              <w:spacing w:lineRule="auto" w:line="240" w:before="120" w:after="120"/>
              <w:rPr>
                <w:rFonts w:ascii="Arial" w:hAnsi="Arial" w:cs="Arial"/>
              </w:rPr>
            </w:pPr>
            <w:r>
              <w:rPr>
                <w:rFonts w:cs="Arial" w:ascii="Arial" w:hAnsi="Arial"/>
              </w:rPr>
            </w:r>
          </w:p>
        </w:tc>
      </w:tr>
      <w:tr>
        <w:trPr>
          <w:cantSplit w:val="true"/>
        </w:trPr>
        <w:tc>
          <w:tcPr>
            <w:tcW w:w="67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7.</w:t>
            </w:r>
          </w:p>
        </w:tc>
        <w:tc>
          <w:tcPr>
            <w:tcW w:w="5531" w:type="dxa"/>
            <w:gridSpan w:val="4"/>
            <w:tcBorders>
              <w:bottom w:val="single" w:sz="4" w:space="0" w:color="000000"/>
            </w:tcBorders>
            <w:shd w:fill="auto" w:val="clear"/>
          </w:tcPr>
          <w:p>
            <w:pPr>
              <w:pStyle w:val="Normal"/>
              <w:spacing w:lineRule="auto" w:line="240" w:before="120" w:after="120"/>
              <w:ind w:left="0" w:right="175" w:hanging="0"/>
              <w:rPr>
                <w:rFonts w:ascii="Arial" w:hAnsi="Arial" w:eastAsia="Times New Roman" w:cs="Arial"/>
                <w:szCs w:val="20"/>
                <w:lang w:eastAsia="en-GB"/>
              </w:rPr>
            </w:pPr>
            <w:r>
              <w:rPr>
                <w:rFonts w:eastAsia="Times New Roman" w:cs="Arial" w:ascii="Arial" w:hAnsi="Arial"/>
                <w:szCs w:val="20"/>
                <w:lang w:eastAsia="en-GB"/>
              </w:rPr>
              <w:t>Demonstrate a detailed understanding of outcome-based commissioning including performance frameworks</w:t>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8.</w:t>
            </w:r>
          </w:p>
        </w:tc>
        <w:tc>
          <w:tcPr>
            <w:tcW w:w="5531" w:type="dxa"/>
            <w:gridSpan w:val="4"/>
            <w:tcBorders>
              <w:bottom w:val="single" w:sz="4" w:space="0" w:color="000000"/>
            </w:tcBorders>
            <w:shd w:fill="auto" w:val="clear"/>
          </w:tcPr>
          <w:p>
            <w:pPr>
              <w:pStyle w:val="Normal"/>
              <w:spacing w:lineRule="auto" w:line="240" w:before="120" w:after="120"/>
              <w:ind w:left="0" w:right="175" w:hanging="0"/>
              <w:rPr>
                <w:rFonts w:ascii="Arial" w:hAnsi="Arial" w:eastAsia="Calibri" w:cs="Arial"/>
                <w:lang w:eastAsia="en-GB"/>
              </w:rPr>
            </w:pPr>
            <w:r>
              <w:rPr>
                <w:rFonts w:eastAsia="Calibri" w:cs="Arial" w:ascii="Arial" w:hAnsi="Arial"/>
                <w:lang w:eastAsia="en-GB"/>
              </w:rPr>
              <w:t>Ability to develop and maintain positive and productive relationships.  Including forming partnerships and lead a range of different groups, ability to negotiate, influence and resolve conflicts, and work as a team member.</w:t>
            </w:r>
          </w:p>
        </w:tc>
        <w:tc>
          <w:tcPr>
            <w:tcW w:w="3423" w:type="dxa"/>
            <w:tcBorders>
              <w:bottom w:val="single" w:sz="4" w:space="0" w:color="000000"/>
            </w:tcBorders>
            <w:shd w:fill="auto" w:val="clear"/>
          </w:tcPr>
          <w:p>
            <w:pPr>
              <w:pStyle w:val="Normal"/>
              <w:spacing w:lineRule="auto" w:line="240" w:before="0" w:after="0"/>
              <w:rPr>
                <w:rFonts w:ascii="Arial" w:hAnsi="Arial" w:cs="Arial"/>
              </w:rPr>
            </w:pPr>
            <w:r>
              <w:rPr>
                <w:rFonts w:cs="Arial" w:ascii="Arial" w:hAnsi="Arial"/>
              </w:rPr>
              <w:t xml:space="preserve">Interview </w:t>
            </w:r>
          </w:p>
          <w:p>
            <w:pPr>
              <w:pStyle w:val="Normal"/>
              <w:spacing w:lineRule="auto" w:line="240" w:before="120" w:after="120"/>
              <w:rPr>
                <w:rFonts w:ascii="Arial" w:hAnsi="Arial" w:cs="Arial"/>
              </w:rPr>
            </w:pPr>
            <w:r>
              <w:rPr>
                <w:rFonts w:cs="Arial" w:ascii="Arial" w:hAnsi="Arial"/>
              </w:rPr>
            </w:r>
          </w:p>
        </w:tc>
      </w:tr>
      <w:tr>
        <w:trPr>
          <w:cantSplit w:val="true"/>
        </w:trPr>
        <w:tc>
          <w:tcPr>
            <w:tcW w:w="67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9</w:t>
            </w:r>
          </w:p>
        </w:tc>
        <w:tc>
          <w:tcPr>
            <w:tcW w:w="5531" w:type="dxa"/>
            <w:gridSpan w:val="4"/>
            <w:tcBorders>
              <w:bottom w:val="single" w:sz="4" w:space="0" w:color="000000"/>
            </w:tcBorders>
            <w:shd w:fill="auto" w:val="clear"/>
          </w:tcPr>
          <w:p>
            <w:pPr>
              <w:pStyle w:val="Normal"/>
              <w:spacing w:lineRule="auto" w:line="240" w:before="0" w:after="0"/>
              <w:rPr>
                <w:rFonts w:ascii="Arial" w:hAnsi="Arial" w:eastAsia="Times New Roman" w:cs="Arial"/>
                <w:lang w:eastAsia="en-GB"/>
              </w:rPr>
            </w:pPr>
            <w:r>
              <w:rPr>
                <w:rFonts w:eastAsia="Times New Roman" w:cs="Arial" w:ascii="Arial" w:hAnsi="Arial"/>
                <w:lang w:eastAsia="en-GB"/>
              </w:rPr>
              <w:t xml:space="preserve">Ability to project manage, organise own workload and prioritise tasks in order to meet deadlines. </w:t>
            </w:r>
          </w:p>
          <w:p>
            <w:pPr>
              <w:pStyle w:val="Normal"/>
              <w:spacing w:lineRule="auto" w:line="240" w:before="120" w:after="120"/>
              <w:ind w:left="0" w:right="175" w:hanging="0"/>
              <w:rPr>
                <w:rFonts w:ascii="Arial" w:hAnsi="Arial" w:cs="Arial"/>
              </w:rPr>
            </w:pPr>
            <w:r>
              <w:rPr>
                <w:rFonts w:cs="Arial" w:ascii="Arial" w:hAnsi="Arial"/>
              </w:rPr>
            </w:r>
          </w:p>
        </w:tc>
        <w:tc>
          <w:tcPr>
            <w:tcW w:w="3423"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10</w:t>
            </w:r>
          </w:p>
        </w:tc>
        <w:tc>
          <w:tcPr>
            <w:tcW w:w="5531" w:type="dxa"/>
            <w:gridSpan w:val="4"/>
            <w:tcBorders>
              <w:bottom w:val="single" w:sz="4" w:space="0" w:color="000000"/>
            </w:tcBorders>
            <w:shd w:fill="auto" w:val="clear"/>
          </w:tcPr>
          <w:p>
            <w:pPr>
              <w:pStyle w:val="Normal"/>
              <w:spacing w:lineRule="auto" w:line="240" w:before="0" w:after="0"/>
              <w:rPr>
                <w:rFonts w:ascii="Arial" w:hAnsi="Arial" w:eastAsia="Times New Roman" w:cs="Arial"/>
                <w:lang w:eastAsia="en-GB"/>
              </w:rPr>
            </w:pPr>
            <w:r>
              <w:rPr>
                <w:rFonts w:eastAsia="Times New Roman" w:cs="Arial" w:ascii="Arial" w:hAnsi="Arial"/>
                <w:lang w:eastAsia="en-GB"/>
              </w:rPr>
              <w:t>Excellent IT skills including word processing, spreadsheets, databases, email, internet browsers and business specific ICT systems.</w:t>
            </w:r>
          </w:p>
          <w:p>
            <w:pPr>
              <w:pStyle w:val="Normal"/>
              <w:spacing w:lineRule="auto" w:line="240" w:before="120" w:after="120"/>
              <w:ind w:left="0" w:right="175" w:hanging="0"/>
              <w:rPr>
                <w:rFonts w:ascii="Arial" w:hAnsi="Arial" w:cs="Arial"/>
              </w:rPr>
            </w:pPr>
            <w:r>
              <w:rPr>
                <w:rFonts w:cs="Arial" w:ascii="Arial" w:hAnsi="Arial"/>
              </w:rPr>
            </w:r>
          </w:p>
        </w:tc>
        <w:tc>
          <w:tcPr>
            <w:tcW w:w="3423" w:type="dxa"/>
            <w:tcBorders>
              <w:bottom w:val="single" w:sz="4" w:space="0" w:color="000000"/>
            </w:tcBorders>
            <w:shd w:fill="auto" w:val="clear"/>
          </w:tcPr>
          <w:p>
            <w:pPr>
              <w:pStyle w:val="Normal"/>
              <w:spacing w:lineRule="auto" w:line="240" w:before="0" w:after="0"/>
              <w:rPr>
                <w:rFonts w:ascii="Arial" w:hAnsi="Arial" w:cs="Arial"/>
              </w:rPr>
            </w:pPr>
            <w:r>
              <w:rPr>
                <w:rFonts w:cs="Arial" w:ascii="Arial" w:hAnsi="Arial"/>
              </w:rPr>
              <w:t xml:space="preserve">Interview / Presentation </w:t>
            </w:r>
          </w:p>
          <w:p>
            <w:pPr>
              <w:pStyle w:val="Normal"/>
              <w:spacing w:lineRule="auto" w:line="240" w:before="120" w:after="120"/>
              <w:rPr>
                <w:rFonts w:ascii="Arial" w:hAnsi="Arial" w:cs="Arial"/>
              </w:rPr>
            </w:pPr>
            <w:r>
              <w:rPr>
                <w:rFonts w:cs="Arial" w:ascii="Arial" w:hAnsi="Arial"/>
              </w:rPr>
            </w:r>
          </w:p>
        </w:tc>
      </w:tr>
      <w:tr>
        <w:trPr>
          <w:cantSplit w:val="true"/>
        </w:trPr>
        <w:tc>
          <w:tcPr>
            <w:tcW w:w="674" w:type="dxa"/>
            <w:tcBorders/>
            <w:shd w:fill="auto" w:val="clear"/>
          </w:tcPr>
          <w:p>
            <w:pPr>
              <w:pStyle w:val="Normal"/>
              <w:spacing w:lineRule="auto" w:line="240" w:before="120" w:after="120"/>
              <w:rPr>
                <w:rFonts w:ascii="Arial" w:hAnsi="Arial" w:cs="Arial"/>
              </w:rPr>
            </w:pPr>
            <w:r>
              <w:rPr>
                <w:rFonts w:cs="Arial" w:ascii="Arial" w:hAnsi="Arial"/>
              </w:rPr>
              <w:t>11</w:t>
            </w:r>
          </w:p>
        </w:tc>
        <w:tc>
          <w:tcPr>
            <w:tcW w:w="5531" w:type="dxa"/>
            <w:gridSpan w:val="4"/>
            <w:tcBorders/>
            <w:shd w:fill="auto" w:val="clear"/>
          </w:tcPr>
          <w:p>
            <w:pPr>
              <w:pStyle w:val="Normal"/>
              <w:spacing w:lineRule="auto" w:line="240" w:before="120" w:after="120"/>
              <w:ind w:left="0" w:right="175" w:hanging="0"/>
              <w:rPr/>
            </w:pPr>
            <w:r>
              <w:rPr>
                <w:rFonts w:cs="Arial" w:ascii="Arial" w:hAnsi="Arial"/>
                <w:b/>
              </w:rPr>
              <w:t>Competencies</w:t>
            </w:r>
            <w:r>
              <w:rPr>
                <w:rFonts w:cs="Arial" w:ascii="Arial" w:hAnsi="Arial"/>
              </w:rPr>
              <w:t xml:space="preserve"> – Please note the council’s corporate competencies, which are essential for all roles, are below in the Core Competencies section </w:t>
            </w:r>
          </w:p>
        </w:tc>
        <w:tc>
          <w:tcPr>
            <w:tcW w:w="3423" w:type="dxa"/>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eastAsia="Calibri" w:cs="Arial"/>
                <w:bCs/>
                <w:lang w:eastAsia="en-GB"/>
              </w:rPr>
            </w:pPr>
            <w:r>
              <w:rPr>
                <w:rFonts w:eastAsia="Calibri" w:cs="Arial" w:ascii="Arial" w:hAnsi="Arial"/>
                <w:bCs/>
                <w:lang w:eastAsia="en-GB"/>
              </w:rPr>
              <w:t>To be able to demonstrate experience/knowledge of commissioning health or social care services</w:t>
            </w:r>
          </w:p>
        </w:tc>
        <w:tc>
          <w:tcPr>
            <w:tcW w:w="3423" w:type="dxa"/>
            <w:tcBorders>
              <w:top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 xml:space="preserve">Application / Interview </w:t>
            </w:r>
          </w:p>
          <w:p>
            <w:pPr>
              <w:pStyle w:val="Normal"/>
              <w:spacing w:lineRule="auto" w:line="240" w:before="120" w:after="120"/>
              <w:rPr>
                <w:rFonts w:ascii="Arial" w:hAnsi="Arial" w:cs="Arial"/>
              </w:rPr>
            </w:pPr>
            <w:r>
              <w:rPr>
                <w:rFonts w:cs="Arial" w:ascii="Arial" w:hAnsi="Arial"/>
              </w:rPr>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eastAsia="Times New Roman" w:cs="Arial"/>
                <w:lang w:eastAsia="en-GB"/>
              </w:rPr>
            </w:pPr>
            <w:r>
              <w:rPr>
                <w:rFonts w:eastAsia="Times New Roman" w:cs="Arial" w:ascii="Arial" w:hAnsi="Arial"/>
                <w:lang w:eastAsia="en-GB"/>
              </w:rPr>
              <w:t>A relevant commissioning, contract and procurement qualification or a commitment to continuous professional development.</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 xml:space="preserve">Application </w:t>
            </w:r>
          </w:p>
        </w:tc>
      </w:tr>
      <w:tr>
        <w:trPr>
          <w:cantSplit w:val="true"/>
        </w:trPr>
        <w:tc>
          <w:tcPr>
            <w:tcW w:w="9638"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3.</w:t>
              <w:tab/>
              <w:t>Work Related Circumstances</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All posts require the job holder to undertake mandatory training for the role and to regularly review their developmental needs in conjunction with their line manager. Development of our employees plays a key role in delivering our services</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The Council has a framework of Values &amp; Behaviours that guide our behaviour and decision making to help achieve our vision.  All employees are expected to be mindful of these when undertaking their work.</w:t>
            </w:r>
          </w:p>
        </w:tc>
        <w:tc>
          <w:tcPr>
            <w:tcW w:w="3423"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trHeight w:val="653" w:hRule="atLeast"/>
        </w:trPr>
        <w:tc>
          <w:tcPr>
            <w:tcW w:w="1722" w:type="dxa"/>
            <w:gridSpan w:val="3"/>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b/>
                <w:b/>
              </w:rPr>
            </w:pPr>
            <w:r>
              <w:rPr>
                <w:rFonts w:cs="Arial" w:ascii="Arial" w:hAnsi="Arial"/>
                <w:b/>
              </w:rPr>
              <w:t>STAGE TWO</w:t>
            </w:r>
          </w:p>
        </w:tc>
        <w:tc>
          <w:tcPr>
            <w:tcW w:w="7916" w:type="dxa"/>
            <w:gridSpan w:val="3"/>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rPr>
                <w:rFonts w:ascii="Arial" w:hAnsi="Arial" w:cs="Arial"/>
              </w:rPr>
            </w:pPr>
            <w:r>
              <w:rPr>
                <w:rFonts w:cs="Arial" w:ascii="Arial" w:hAnsi="Arial"/>
              </w:rPr>
              <w:t>Will only be used in the event of a large number of applicants meeting the minimum essential requirements</w:t>
            </w:r>
          </w:p>
        </w:tc>
      </w:tr>
      <w:tr>
        <w:trPr/>
        <w:tc>
          <w:tcPr>
            <w:tcW w:w="6205" w:type="dxa"/>
            <w:gridSpan w:val="5"/>
            <w:tcBorders>
              <w:top w:val="single" w:sz="4" w:space="0" w:color="000000"/>
              <w:left w:val="single" w:sz="4" w:space="0" w:color="000000"/>
              <w:bottom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Additional Requirements</w:t>
            </w:r>
          </w:p>
        </w:tc>
        <w:tc>
          <w:tcPr>
            <w:tcW w:w="3433" w:type="dxa"/>
            <w:tcBorders>
              <w:top w:val="single" w:sz="4" w:space="0" w:color="000000"/>
              <w:left w:val="single" w:sz="4" w:space="0" w:color="000000"/>
              <w:bottom w:val="single" w:sz="4" w:space="0" w:color="000000"/>
              <w:right w:val="single" w:sz="4" w:space="0" w:color="000000"/>
            </w:tcBorders>
            <w:shd w:fill="0A0A0A" w:val="clear"/>
          </w:tcPr>
          <w:p>
            <w:pPr>
              <w:pStyle w:val="Normal"/>
              <w:spacing w:lineRule="auto" w:line="240" w:before="120" w:after="120"/>
              <w:rPr>
                <w:rFonts w:ascii="Arial" w:hAnsi="Arial" w:cs="Arial"/>
                <w:b/>
                <w:b/>
                <w:color w:val="FFFFFF"/>
              </w:rPr>
            </w:pPr>
            <w:r>
              <w:rPr>
                <w:rFonts w:cs="Arial" w:ascii="Arial" w:hAnsi="Arial"/>
                <w:b/>
                <w:color w:val="FFFFFF"/>
              </w:rPr>
              <w:t>Method of Assessment</w:t>
            </w:r>
          </w:p>
        </w:tc>
      </w:tr>
      <w:tr>
        <w:trPr>
          <w:cantSplit w:val="true"/>
        </w:trPr>
        <w:tc>
          <w:tcPr>
            <w:tcW w:w="9638"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1.</w:t>
              <w:tab/>
              <w:t>Skills and Knowledge</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eastAsia="Calibri" w:cs="Arial"/>
                <w:bCs/>
              </w:rPr>
            </w:pPr>
            <w:r>
              <w:rPr>
                <w:rFonts w:eastAsia="Calibri" w:cs="Arial" w:ascii="Arial" w:hAnsi="Arial"/>
                <w:bCs/>
              </w:rPr>
              <w:t>Evidence of delivering service user outcomes through contract management and procurement.</w:t>
            </w:r>
          </w:p>
          <w:p>
            <w:pPr>
              <w:pStyle w:val="Normal"/>
              <w:spacing w:lineRule="auto" w:line="240" w:before="120" w:after="120"/>
              <w:rPr>
                <w:rFonts w:ascii="Arial" w:hAnsi="Arial" w:cs="Arial"/>
              </w:rPr>
            </w:pPr>
            <w:r>
              <w:rPr>
                <w:rFonts w:cs="Arial" w:ascii="Arial" w:hAnsi="Arial"/>
              </w:rPr>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9638" w:type="dxa"/>
            <w:gridSpan w:val="6"/>
            <w:tcBorders>
              <w:top w:val="single" w:sz="4" w:space="0" w:color="000000"/>
              <w:left w:val="single" w:sz="4" w:space="0" w:color="000000"/>
              <w:bottom w:val="single" w:sz="4" w:space="0" w:color="000000"/>
              <w:right w:val="single" w:sz="4" w:space="0" w:color="000000"/>
            </w:tcBorders>
            <w:shd w:fill="D9D9D9" w:val="clear"/>
          </w:tcPr>
          <w:p>
            <w:pPr>
              <w:pStyle w:val="Normal"/>
              <w:spacing w:lineRule="auto" w:line="240" w:before="60" w:after="60"/>
              <w:rPr>
                <w:rFonts w:ascii="Arial" w:hAnsi="Arial" w:cs="Arial"/>
                <w:b/>
                <w:b/>
              </w:rPr>
            </w:pPr>
            <w:r>
              <w:rPr>
                <w:rFonts w:cs="Arial" w:ascii="Arial" w:hAnsi="Arial"/>
                <w:b/>
              </w:rPr>
              <w:t>2.</w:t>
              <w:tab/>
              <w:t>Experience/Qualifications/Training etc</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1.</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eastAsia="Times New Roman" w:cs="Arial"/>
                <w:lang w:eastAsia="en-GB"/>
              </w:rPr>
            </w:pPr>
            <w:r>
              <w:rPr>
                <w:rFonts w:eastAsia="Times New Roman" w:cs="Arial" w:ascii="Arial" w:hAnsi="Arial"/>
                <w:lang w:eastAsia="en-GB"/>
              </w:rPr>
              <w:t>To understand the legal and policy implications of social care, contractual, procurement and employment (in relation to TUPE) in relation to commissioning and ensure that there is a minimal impact to service users and the council.</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Interview</w:t>
            </w:r>
          </w:p>
        </w:tc>
      </w:tr>
      <w:tr>
        <w:trPr>
          <w:cantSplit w:val="true"/>
        </w:trPr>
        <w:tc>
          <w:tcPr>
            <w:tcW w:w="674" w:type="dxa"/>
            <w:tcBorders>
              <w:top w:val="single" w:sz="4" w:space="0" w:color="000000"/>
              <w:bottom w:val="single" w:sz="4" w:space="0" w:color="000000"/>
            </w:tcBorders>
            <w:shd w:fill="auto" w:val="clear"/>
          </w:tcPr>
          <w:p>
            <w:pPr>
              <w:pStyle w:val="Normal"/>
              <w:spacing w:lineRule="auto" w:line="240" w:before="120" w:after="120"/>
              <w:rPr>
                <w:rFonts w:ascii="Arial" w:hAnsi="Arial" w:cs="Arial"/>
              </w:rPr>
            </w:pPr>
            <w:r>
              <w:rPr>
                <w:rFonts w:cs="Arial" w:ascii="Arial" w:hAnsi="Arial"/>
              </w:rPr>
              <w:t>2.</w:t>
            </w:r>
          </w:p>
        </w:tc>
        <w:tc>
          <w:tcPr>
            <w:tcW w:w="5531" w:type="dxa"/>
            <w:gridSpan w:val="4"/>
            <w:tcBorders>
              <w:top w:val="single" w:sz="4" w:space="0" w:color="000000"/>
              <w:bottom w:val="single" w:sz="4" w:space="0" w:color="000000"/>
            </w:tcBorders>
            <w:shd w:fill="auto" w:val="clear"/>
          </w:tcPr>
          <w:p>
            <w:pPr>
              <w:pStyle w:val="Normal"/>
              <w:spacing w:lineRule="auto" w:line="240" w:before="120" w:after="120"/>
              <w:rPr>
                <w:rFonts w:ascii="Arial" w:hAnsi="Arial" w:eastAsia="Calibri" w:cs="Arial"/>
                <w:lang w:eastAsia="en-GB"/>
              </w:rPr>
            </w:pPr>
            <w:r>
              <w:rPr>
                <w:rFonts w:eastAsia="Calibri" w:cs="Arial" w:ascii="Arial" w:hAnsi="Arial"/>
                <w:lang w:eastAsia="en-GB"/>
              </w:rPr>
              <w:t>Experience of managing substantive contract and relationship change successfully</w:t>
            </w:r>
          </w:p>
        </w:tc>
        <w:tc>
          <w:tcPr>
            <w:tcW w:w="3423"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ascii="Arial" w:hAnsi="Arial" w:cs="Arial"/>
              </w:rPr>
            </w:pPr>
            <w:r>
              <w:rPr>
                <w:rFonts w:cs="Arial" w:ascii="Arial" w:hAnsi="Arial"/>
              </w:rPr>
              <w:t xml:space="preserve">Application / Interview </w:t>
            </w:r>
          </w:p>
          <w:p>
            <w:pPr>
              <w:pStyle w:val="Normal"/>
              <w:spacing w:lineRule="auto" w:line="240" w:before="120" w:after="120"/>
              <w:rPr>
                <w:rFonts w:ascii="Arial" w:hAnsi="Arial" w:cs="Arial"/>
              </w:rPr>
            </w:pPr>
            <w:r>
              <w:rPr>
                <w:rFonts w:cs="Arial" w:ascii="Arial" w:hAnsi="Arial"/>
              </w:rPr>
            </w:r>
          </w:p>
        </w:tc>
      </w:tr>
      <w:tr>
        <w:trPr/>
        <w:tc>
          <w:tcPr>
            <w:tcW w:w="5812" w:type="dxa"/>
            <w:gridSpan w:val="4"/>
            <w:tcBorders/>
            <w:shd w:fill="auto" w:val="clear"/>
          </w:tcPr>
          <w:p>
            <w:pPr>
              <w:pStyle w:val="Normal"/>
              <w:spacing w:lineRule="auto" w:line="240" w:before="0" w:after="0"/>
              <w:rPr>
                <w:rFonts w:ascii="Arial" w:hAnsi="Arial" w:cs="Arial"/>
                <w:b/>
                <w:b/>
              </w:rPr>
            </w:pPr>
            <w:r>
              <w:rPr>
                <w:rFonts w:cs="Arial" w:ascii="Arial" w:hAnsi="Arial"/>
                <w:b/>
              </w:rPr>
              <w:t>Date Person Specification prepared/updated</w:t>
            </w:r>
          </w:p>
        </w:tc>
        <w:tc>
          <w:tcPr>
            <w:tcW w:w="3816" w:type="dxa"/>
            <w:gridSpan w:val="2"/>
            <w:tcBorders/>
            <w:shd w:fill="auto" w:val="clear"/>
          </w:tcPr>
          <w:p>
            <w:pPr>
              <w:pStyle w:val="Normal"/>
              <w:spacing w:lineRule="auto" w:line="240" w:before="0" w:after="0"/>
              <w:rPr>
                <w:rFonts w:ascii="Arial" w:hAnsi="Arial" w:cs="Arial"/>
                <w:b/>
                <w:b/>
              </w:rPr>
            </w:pPr>
            <w:r>
              <w:rPr>
                <w:rFonts w:cs="Arial" w:ascii="Arial" w:hAnsi="Arial"/>
                <w:b/>
              </w:rPr>
              <w:t>18 June 2026</w:t>
            </w:r>
          </w:p>
        </w:tc>
      </w:tr>
      <w:tr>
        <w:trPr/>
        <w:tc>
          <w:tcPr>
            <w:tcW w:w="5812" w:type="dxa"/>
            <w:gridSpan w:val="4"/>
            <w:tcBorders/>
            <w:shd w:fill="auto" w:val="clear"/>
          </w:tcPr>
          <w:p>
            <w:pPr>
              <w:pStyle w:val="Normal"/>
              <w:spacing w:lineRule="auto" w:line="240" w:before="0" w:after="0"/>
              <w:rPr>
                <w:rFonts w:ascii="Arial" w:hAnsi="Arial" w:cs="Arial"/>
                <w:b/>
                <w:b/>
              </w:rPr>
            </w:pPr>
            <w:r>
              <w:rPr>
                <w:rFonts w:cs="Arial" w:ascii="Arial" w:hAnsi="Arial"/>
                <w:b/>
              </w:rPr>
              <w:t>Person Specification prepared by</w:t>
            </w:r>
          </w:p>
        </w:tc>
        <w:tc>
          <w:tcPr>
            <w:tcW w:w="3816" w:type="dxa"/>
            <w:gridSpan w:val="2"/>
            <w:tcBorders/>
            <w:shd w:fill="auto" w:val="clear"/>
          </w:tcPr>
          <w:p>
            <w:pPr>
              <w:pStyle w:val="Normal"/>
              <w:spacing w:lineRule="auto" w:line="240" w:before="0" w:after="0"/>
              <w:rPr>
                <w:rFonts w:ascii="Arial" w:hAnsi="Arial" w:cs="Arial"/>
                <w:b/>
                <w:b/>
              </w:rPr>
            </w:pPr>
            <w:r>
              <w:rPr>
                <w:rFonts w:cs="Arial" w:ascii="Arial" w:hAnsi="Arial"/>
                <w:b/>
              </w:rPr>
              <w:t>Head of Strategic Commissioning</w:t>
            </w:r>
          </w:p>
        </w:tc>
      </w:tr>
    </w:tbl>
    <w:p>
      <w:pPr>
        <w:pStyle w:val="Normal"/>
        <w:spacing w:lineRule="auto" w:line="240" w:before="0" w:after="0"/>
        <w:rPr>
          <w:rFonts w:ascii="Arial" w:hAnsi="Arial" w:cs="Arial"/>
          <w:b/>
          <w:b/>
        </w:rPr>
      </w:pPr>
      <w:r>
        <w:rPr>
          <w:rFonts w:cs="Arial" w:ascii="Arial" w:hAnsi="Arial"/>
          <w:b/>
        </w:rPr>
      </w:r>
    </w:p>
    <w:p>
      <w:pPr>
        <w:pStyle w:val="Normal"/>
        <w:spacing w:lineRule="auto" w:line="256" w:before="0" w:after="160"/>
        <w:rPr>
          <w:rFonts w:ascii="Arial" w:hAnsi="Arial" w:cs="Arial"/>
          <w:b/>
          <w:b/>
        </w:rPr>
      </w:pPr>
      <w:r>
        <w:rPr>
          <w:rFonts w:cs="Arial" w:ascii="Arial" w:hAnsi="Arial"/>
          <w:b/>
        </w:rPr>
      </w:r>
      <w:r>
        <w:br w:type="page"/>
      </w:r>
    </w:p>
    <w:p>
      <w:pPr>
        <w:pStyle w:val="Normal"/>
        <w:spacing w:lineRule="auto" w:line="240" w:before="0" w:after="0"/>
        <w:rPr>
          <w:rFonts w:ascii="Arial" w:hAnsi="Arial" w:cs="Arial"/>
          <w:b/>
          <w:b/>
        </w:rPr>
      </w:pPr>
      <w:r>
        <w:rPr>
          <w:rFonts w:cs="Arial" w:ascii="Arial" w:hAnsi="Arial"/>
          <w:b/>
        </w:rPr>
      </w:r>
    </w:p>
    <w:p>
      <w:pPr>
        <w:pStyle w:val="Normal"/>
        <w:spacing w:lineRule="auto" w:line="240" w:before="0" w:after="0"/>
        <w:rPr>
          <w:rFonts w:ascii="Arial" w:hAnsi="Arial" w:cs="Arial"/>
          <w:b/>
          <w:b/>
        </w:rPr>
      </w:pPr>
      <w:r>
        <w:rPr>
          <w:rFonts w:cs="Arial" w:ascii="Arial" w:hAnsi="Arial"/>
          <w:b/>
        </w:rPr>
        <w:t>These core competencies are considered essential for all roles within Bolton Council. Please be prepared to be assessed on any of these during the interview process and, for the successful applicant, throughout the probationary period.</w:t>
      </w:r>
    </w:p>
    <w:p>
      <w:pPr>
        <w:pStyle w:val="Normal"/>
        <w:keepLines/>
        <w:spacing w:lineRule="auto" w:line="240" w:before="0" w:after="0"/>
        <w:rPr>
          <w:rFonts w:ascii="Arial" w:hAnsi="Arial" w:cs="Arial"/>
          <w:b/>
          <w:b/>
        </w:rPr>
      </w:pPr>
      <w:r>
        <w:rPr>
          <w:rFonts w:cs="Arial" w:ascii="Arial" w:hAnsi="Arial"/>
          <w:b/>
        </w:rPr>
      </w:r>
    </w:p>
    <w:p>
      <w:pPr>
        <w:pStyle w:val="Normal"/>
        <w:keepLines/>
        <w:spacing w:lineRule="auto" w:line="240" w:before="0" w:after="0"/>
        <w:rPr>
          <w:rFonts w:ascii="Arial" w:hAnsi="Arial" w:cs="Arial"/>
          <w:b/>
          <w:b/>
        </w:rPr>
      </w:pPr>
      <w:r>
        <w:rPr>
          <w:rFonts w:cs="Arial" w:ascii="Arial" w:hAnsi="Arial"/>
          <w:b/>
        </w:rPr>
        <w:t>Developing Self &amp; Others</w:t>
      </w:r>
    </w:p>
    <w:p>
      <w:pPr>
        <w:pStyle w:val="Normal"/>
        <w:spacing w:lineRule="auto" w:line="240" w:before="0" w:after="0"/>
        <w:rPr>
          <w:rFonts w:ascii="Arial" w:hAnsi="Arial" w:cs="Arial"/>
        </w:rPr>
      </w:pPr>
      <w:r>
        <w:rPr>
          <w:rFonts w:cs="Arial" w:ascii="Arial" w:hAnsi="Arial"/>
        </w:rPr>
        <w:t>Promote a learning environment to embed a learning culture.  Support others to develop their skills and knowledge to fulfil their potential. Actively pursue your own development. Support and promote the principles of Investors in People. </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Civil Contingencies</w:t>
      </w:r>
    </w:p>
    <w:p>
      <w:pPr>
        <w:pStyle w:val="Normal"/>
        <w:spacing w:lineRule="auto" w:line="240" w:before="0" w:after="0"/>
        <w:rPr>
          <w:rFonts w:ascii="Arial" w:hAnsi="Arial" w:cs="Arial"/>
        </w:rPr>
      </w:pPr>
      <w:r>
        <w:rPr>
          <w:rFonts w:cs="Arial" w:ascii="Arial" w:hAnsi="Arial"/>
        </w:rPr>
        <w:t>Bolton Council has a statutory duty under the Civil Contingencies Act to respond in the event of an emergency. If Bolton Council’s Emergency Management Plan is activated, you may be required to assist in maintaining key Council services and supporting the community.  This could require working outside of routine working hours and working from places other than your normal place of work.</w:t>
      </w:r>
    </w:p>
    <w:p>
      <w:pPr>
        <w:pStyle w:val="Normal"/>
        <w:keepLines/>
        <w:spacing w:lineRule="auto" w:line="240" w:before="0" w:after="0"/>
        <w:ind w:left="1069" w:right="0" w:hanging="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Equality &amp; Diversity</w:t>
      </w:r>
    </w:p>
    <w:p>
      <w:pPr>
        <w:pStyle w:val="Normal"/>
        <w:spacing w:lineRule="auto" w:line="240" w:before="0" w:after="0"/>
        <w:rPr>
          <w:rFonts w:ascii="Arial" w:hAnsi="Arial" w:cs="Arial"/>
        </w:rPr>
      </w:pPr>
      <w:r>
        <w:rPr>
          <w:rFonts w:cs="Arial" w:ascii="Arial" w:hAnsi="Arial"/>
        </w:rPr>
        <w:t>Uphold the principles of fairness and the Equality Act in all undertakings as a Bolton Council employee, including providing a fair, accessible service irrespective of customer’s race, religion, gender, sexuality, disability or age.</w:t>
      </w:r>
    </w:p>
    <w:p>
      <w:pPr>
        <w:pStyle w:val="Normal"/>
        <w:keepLines/>
        <w:spacing w:lineRule="auto" w:line="240" w:before="0" w:after="0"/>
        <w:rPr>
          <w:rFonts w:ascii="Arial" w:hAnsi="Arial" w:cs="Arial"/>
        </w:rPr>
      </w:pPr>
      <w:r>
        <w:rPr>
          <w:rFonts w:cs="Arial" w:ascii="Arial" w:hAnsi="Arial"/>
        </w:rPr>
      </w:r>
    </w:p>
    <w:p>
      <w:pPr>
        <w:pStyle w:val="Normal"/>
        <w:keepLines/>
        <w:spacing w:lineRule="auto" w:line="240" w:before="0" w:after="0"/>
        <w:rPr>
          <w:rFonts w:ascii="Arial" w:hAnsi="Arial" w:cs="Arial"/>
          <w:b/>
          <w:b/>
        </w:rPr>
      </w:pPr>
      <w:r>
        <w:rPr>
          <w:rFonts w:cs="Arial" w:ascii="Arial" w:hAnsi="Arial"/>
          <w:b/>
        </w:rPr>
        <w:t>Customer Care</w:t>
      </w:r>
    </w:p>
    <w:p>
      <w:pPr>
        <w:pStyle w:val="Normal"/>
        <w:spacing w:lineRule="auto" w:line="240" w:before="0" w:after="0"/>
        <w:rPr>
          <w:rFonts w:ascii="Arial" w:hAnsi="Arial" w:cs="Arial"/>
        </w:rPr>
      </w:pPr>
      <w:r>
        <w:rPr>
          <w:rFonts w:cs="Arial" w:ascii="Arial" w:hAnsi="Arial"/>
        </w:rPr>
        <w:t>The ability to fully understand, assess and resolve the needs of all customers including those who present with complex situations, in a manner that respects dignity and expresses a caring &amp; professional image.</w:t>
      </w:r>
    </w:p>
    <w:p>
      <w:pPr>
        <w:pStyle w:val="Normal"/>
        <w:spacing w:lineRule="auto" w:line="240" w:before="0" w:after="0"/>
        <w:rPr>
          <w:rFonts w:ascii="Arial" w:hAnsi="Arial" w:cs="Arial"/>
          <w:color w:val="0000FF"/>
          <w:u w:val="single"/>
        </w:rPr>
      </w:pPr>
      <w:r>
        <w:rPr>
          <w:rFonts w:cs="Arial" w:ascii="Arial" w:hAnsi="Arial"/>
          <w:color w:val="0000FF"/>
          <w:u w:val="single"/>
        </w:rPr>
      </w:r>
    </w:p>
    <w:p>
      <w:pPr>
        <w:pStyle w:val="Normal"/>
        <w:keepLines/>
        <w:spacing w:lineRule="auto" w:line="240" w:before="0" w:after="0"/>
        <w:rPr>
          <w:rFonts w:ascii="Arial" w:hAnsi="Arial" w:cs="Arial"/>
          <w:b/>
          <w:b/>
        </w:rPr>
      </w:pPr>
      <w:r>
        <w:rPr>
          <w:rFonts w:cs="Arial" w:ascii="Arial" w:hAnsi="Arial"/>
          <w:b/>
        </w:rPr>
        <w:t>Health &amp; Safety</w:t>
      </w:r>
    </w:p>
    <w:p>
      <w:pPr>
        <w:pStyle w:val="Normal"/>
        <w:spacing w:lineRule="auto" w:line="240" w:before="0" w:after="0"/>
        <w:rPr>
          <w:rFonts w:ascii="Arial" w:hAnsi="Arial" w:cs="Arial"/>
        </w:rPr>
      </w:pPr>
      <w:r>
        <w:rPr>
          <w:rFonts w:cs="Arial" w:ascii="Arial" w:hAnsi="Arial"/>
        </w:rPr>
        <w:t>Take responsibility for the health and safety of yourself and others who may be affected by your acts or omissions, and comply with all health and safety legislation, policy and safe working practice, including participating in training activities necessary to your post.</w:t>
      </w:r>
    </w:p>
    <w:p>
      <w:pPr>
        <w:pStyle w:val="Normal"/>
        <w:keepLines/>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rPr>
      </w:pPr>
      <w:r>
        <w:rPr>
          <w:rFonts w:cs="Arial" w:ascii="Arial" w:hAnsi="Arial"/>
          <w:b/>
          <w:bCs/>
        </w:rPr>
        <w:t>Data Protection and Confidentiality</w:t>
      </w:r>
    </w:p>
    <w:p>
      <w:pPr>
        <w:pStyle w:val="Normal"/>
        <w:spacing w:lineRule="auto" w:line="240" w:before="0" w:after="0"/>
        <w:rPr/>
      </w:pPr>
      <w:r>
        <w:rPr>
          <w:rFonts w:cs="Arial" w:ascii="Arial" w:hAnsi="Arial"/>
        </w:rPr>
        <w:t>Ensure</w:t>
      </w:r>
      <w:r>
        <w:rPr>
          <w:rFonts w:cs="Arial" w:ascii="Arial" w:hAnsi="Arial"/>
          <w:lang w:val="en-US"/>
        </w:rPr>
        <w:t xml:space="preserve"> that any personal data or confidential data you hold is kept securely and is not disclosed, whether electronically, verbally or in writing, to any unauthorised third party. Follow Council policies and procedures on dealing with personal information and information assets, including The Code of Conduct, Data Protection, Acceptable Use and Information Security policies. Personal or confidential data should only be accessed or used for council purposes.</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lang w:val="en-US"/>
        </w:rPr>
      </w:pPr>
      <w:r>
        <w:rPr>
          <w:rFonts w:cs="Arial" w:ascii="Arial" w:hAnsi="Arial"/>
          <w:b/>
          <w:lang w:val="en-US"/>
        </w:rPr>
        <w:t>Fluency Duty</w:t>
      </w:r>
    </w:p>
    <w:p>
      <w:pPr>
        <w:pStyle w:val="Normal"/>
        <w:spacing w:lineRule="auto" w:line="240" w:before="0" w:after="0"/>
        <w:rPr/>
      </w:pPr>
      <w:r>
        <w:rPr>
          <w:rFonts w:cs="Arial" w:ascii="Arial" w:hAnsi="Arial"/>
        </w:rPr>
        <w:t>Should you be required, as a regular and intrinsic part of your role, to speak to members of the public in English, you must be able to converse at ease with customers and provide advice in accurate spoken English, as required by</w:t>
      </w:r>
      <w:r>
        <w:rPr>
          <w:rFonts w:cs="Arial" w:ascii="Arial" w:hAnsi="Arial"/>
          <w:i/>
        </w:rPr>
        <w:t xml:space="preserve"> </w:t>
      </w:r>
      <w:r>
        <w:rPr>
          <w:rFonts w:cs="Arial" w:ascii="Arial" w:hAnsi="Arial"/>
        </w:rPr>
        <w:t>The Immigration Act 2016.</w:t>
      </w:r>
    </w:p>
    <w:p>
      <w:pPr>
        <w:pStyle w:val="Normal"/>
        <w:spacing w:lineRule="auto" w:line="240" w:before="0" w:after="0"/>
        <w:rPr>
          <w:rFonts w:ascii="Arial" w:hAnsi="Arial" w:cs="Arial"/>
          <w:lang w:val="en-US"/>
        </w:rPr>
      </w:pPr>
      <w:r>
        <w:rPr>
          <w:rFonts w:cs="Arial" w:ascii="Arial" w:hAnsi="Arial"/>
          <w:lang w:val="en-US"/>
        </w:rPr>
      </w:r>
    </w:p>
    <w:p>
      <w:pPr>
        <w:pStyle w:val="Normal"/>
        <w:spacing w:lineRule="auto" w:line="240" w:before="0" w:after="0"/>
        <w:rPr>
          <w:rFonts w:ascii="Arial" w:hAnsi="Arial" w:cs="Arial"/>
          <w:b/>
          <w:b/>
        </w:rPr>
      </w:pPr>
      <w:r>
        <w:rPr>
          <w:rFonts w:cs="Arial" w:ascii="Arial" w:hAnsi="Arial"/>
          <w:b/>
        </w:rPr>
        <w:t>Working Hours</w:t>
      </w:r>
    </w:p>
    <w:p>
      <w:pPr>
        <w:pStyle w:val="Normal"/>
        <w:spacing w:lineRule="auto" w:line="240" w:before="0" w:after="0"/>
        <w:rPr>
          <w:rFonts w:ascii="Arial" w:hAnsi="Arial" w:cs="Arial"/>
        </w:rPr>
      </w:pPr>
      <w:r>
        <w:rPr>
          <w:rFonts w:cs="Arial" w:ascii="Arial" w:hAnsi="Arial"/>
        </w:rPr>
        <w:t>The nature and demands of the role are not always predictable and there will be an expectation that work will be required outside of normal hours from time to time.</w:t>
      </w:r>
    </w:p>
    <w:p>
      <w:pPr>
        <w:pStyle w:val="Normal"/>
        <w:spacing w:lineRule="auto" w:line="240" w:before="0" w:after="0"/>
        <w:rPr>
          <w:rFonts w:ascii="Arial" w:hAnsi="Arial" w:cs="Arial"/>
        </w:rPr>
      </w:pPr>
      <w:r>
        <w:rPr>
          <w:rFonts w:cs="Arial" w:ascii="Arial" w:hAnsi="Arial"/>
        </w:rPr>
      </w:r>
    </w:p>
    <w:p>
      <w:pPr>
        <w:pStyle w:val="Normal"/>
        <w:spacing w:lineRule="auto" w:line="240" w:before="0" w:after="0"/>
        <w:rPr>
          <w:rFonts w:ascii="Arial" w:hAnsi="Arial" w:cs="Arial"/>
          <w:b/>
          <w:b/>
          <w:bCs/>
          <w:iCs/>
        </w:rPr>
      </w:pPr>
      <w:r>
        <w:rPr>
          <w:rFonts w:cs="Arial" w:ascii="Arial" w:hAnsi="Arial"/>
          <w:b/>
          <w:bCs/>
          <w:iCs/>
        </w:rPr>
        <w:t>Safeguarding</w:t>
      </w:r>
    </w:p>
    <w:p>
      <w:pPr>
        <w:pStyle w:val="Normal"/>
        <w:rPr>
          <w:rFonts w:ascii="Arial" w:hAnsi="Arial" w:cs="Arial"/>
          <w:bCs/>
          <w:iCs/>
        </w:rPr>
      </w:pPr>
      <w:r>
        <w:rPr>
          <w:rFonts w:cs="Arial" w:ascii="Arial" w:hAnsi="Arial"/>
          <w:bCs/>
          <w:iCs/>
        </w:rPr>
        <w:t>This Council is committed to safeguarding and promoting the welfare of children, young people and vulnerable adults and expects all staff and volunteers to share this commitment.  Should the role involve working with the above groups, you will be subject to an Enhanced Disclosure and Barred List check by the Disclosure &amp; Barring Service.</w:t>
      </w:r>
    </w:p>
    <w:p>
      <w:pPr>
        <w:pStyle w:val="Normal"/>
        <w:rPr/>
      </w:pPr>
      <w:r>
        <w:rPr>
          <w:rFonts w:cs="Arial" w:ascii="Arial" w:hAnsi="Arial"/>
          <w:b/>
          <w:bCs/>
          <w:color w:val="10191C"/>
          <w:shd w:fill="FFFFFF" w:val="clear"/>
        </w:rPr>
        <w:t>The values of an organisation are those key principles by which people are expected to work to day to day. They’re our culture and help define what is expected of each and every one of us</w:t>
      </w:r>
      <w:r>
        <w:rPr>
          <w:rFonts w:cs="Arial" w:ascii="Arial" w:hAnsi="Arial"/>
          <w:color w:val="10191C"/>
          <w:shd w:fill="FFFFFF" w:val="clear"/>
        </w:rPr>
        <w:t>.</w:t>
      </w:r>
    </w:p>
    <w:p>
      <w:pPr>
        <w:pStyle w:val="Normal"/>
        <w:rPr/>
      </w:pPr>
      <w:r>
        <w:rPr/>
        <w:drawing>
          <wp:inline distT="0" distB="0" distL="0" distR="0">
            <wp:extent cx="4911090" cy="130556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4" t="-14" r="-4" b="-14"/>
                    <a:stretch>
                      <a:fillRect/>
                    </a:stretch>
                  </pic:blipFill>
                  <pic:spPr bwMode="auto">
                    <a:xfrm>
                      <a:off x="0" y="0"/>
                      <a:ext cx="4911090" cy="1305560"/>
                    </a:xfrm>
                    <a:prstGeom prst="rect">
                      <a:avLst/>
                    </a:prstGeom>
                  </pic:spPr>
                </pic:pic>
              </a:graphicData>
            </a:graphic>
          </wp:inline>
        </w:drawing>
      </w:r>
    </w:p>
    <w:p>
      <w:pPr>
        <w:pStyle w:val="Normal"/>
        <w:rPr/>
      </w:pPr>
      <w:r>
        <w:rPr/>
        <w:drawing>
          <wp:inline distT="0" distB="0" distL="0" distR="0">
            <wp:extent cx="4863465" cy="13398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4" t="-13" r="-4" b="-13"/>
                    <a:stretch>
                      <a:fillRect/>
                    </a:stretch>
                  </pic:blipFill>
                  <pic:spPr bwMode="auto">
                    <a:xfrm>
                      <a:off x="0" y="0"/>
                      <a:ext cx="4863465" cy="1339850"/>
                    </a:xfrm>
                    <a:prstGeom prst="rect">
                      <a:avLst/>
                    </a:prstGeom>
                  </pic:spPr>
                </pic:pic>
              </a:graphicData>
            </a:graphic>
          </wp:inline>
        </w:drawing>
      </w:r>
      <w:r>
        <w:rPr/>
        <w:drawing>
          <wp:inline distT="0" distB="0" distL="0" distR="0">
            <wp:extent cx="4820920" cy="119380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4" t="-15" r="-4" b="-15"/>
                    <a:stretch>
                      <a:fillRect/>
                    </a:stretch>
                  </pic:blipFill>
                  <pic:spPr bwMode="auto">
                    <a:xfrm>
                      <a:off x="0" y="0"/>
                      <a:ext cx="4820920" cy="1193800"/>
                    </a:xfrm>
                    <a:prstGeom prst="rect">
                      <a:avLst/>
                    </a:prstGeom>
                  </pic:spPr>
                </pic:pic>
              </a:graphicData>
            </a:graphic>
          </wp:inline>
        </w:drawing>
      </w:r>
      <w:r>
        <w:rPr/>
        <w:drawing>
          <wp:inline distT="0" distB="0" distL="0" distR="0">
            <wp:extent cx="4975860" cy="1219835"/>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4" t="-15" r="-4" b="-15"/>
                    <a:stretch>
                      <a:fillRect/>
                    </a:stretch>
                  </pic:blipFill>
                  <pic:spPr bwMode="auto">
                    <a:xfrm>
                      <a:off x="0" y="0"/>
                      <a:ext cx="4975860" cy="1219835"/>
                    </a:xfrm>
                    <a:prstGeom prst="rect">
                      <a:avLst/>
                    </a:prstGeom>
                  </pic:spPr>
                </pic:pic>
              </a:graphicData>
            </a:graphic>
          </wp:inline>
        </w:drawing>
      </w:r>
    </w:p>
    <w:p>
      <w:pPr>
        <w:pStyle w:val="Normal"/>
        <w:rPr/>
      </w:pPr>
      <w:r>
        <w:rPr/>
        <w:drawing>
          <wp:inline distT="0" distB="0" distL="0" distR="0">
            <wp:extent cx="5012690" cy="1232535"/>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6" t="-19" r="-6" b="-19"/>
                    <a:stretch>
                      <a:fillRect/>
                    </a:stretch>
                  </pic:blipFill>
                  <pic:spPr bwMode="auto">
                    <a:xfrm>
                      <a:off x="0" y="0"/>
                      <a:ext cx="5012690" cy="1232535"/>
                    </a:xfrm>
                    <a:prstGeom prst="rect">
                      <a:avLst/>
                    </a:prstGeom>
                  </pic:spPr>
                </pic:pic>
              </a:graphicData>
            </a:graphic>
          </wp:inline>
        </w:drawing>
      </w:r>
    </w:p>
    <w:p>
      <w:pPr>
        <w:pStyle w:val="Normal"/>
        <w:widowControl/>
        <w:bidi w:val="0"/>
        <w:spacing w:lineRule="auto" w:line="276" w:before="0" w:after="200"/>
        <w:jc w:val="left"/>
        <w:rPr/>
      </w:pPr>
      <w:r>
        <w:rPr/>
      </w:r>
    </w:p>
    <w:sectPr>
      <w:headerReference w:type="default" r:id="rId8"/>
      <w:footerReference w:type="default" r:id="rId9"/>
      <w:type w:val="nextPage"/>
      <w:pgSz w:w="11906" w:h="16838"/>
      <w:pgMar w:left="1134" w:right="1134" w:header="709" w:top="1361" w:footer="709"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21"/>
        <w:szCs w:val="21"/>
      </w:rPr>
    </w:pPr>
    <w:r>
      <w:rPr>
        <w:rFonts w:cs="Arial" w:ascii="Arial" w:hAnsi="Arial"/>
        <w:sz w:val="21"/>
        <w:szCs w:val="21"/>
      </w:rPr>
      <w:t xml:space="preserve">Our Values: </w:t>
    </w:r>
  </w:p>
  <w:p>
    <w:pPr>
      <w:pStyle w:val="Footer"/>
      <w:jc w:val="center"/>
      <w:rPr>
        <w:rFonts w:ascii="Arial" w:hAnsi="Arial" w:cs="Arial"/>
        <w:sz w:val="21"/>
        <w:szCs w:val="21"/>
      </w:rPr>
    </w:pPr>
    <w:r>
      <w:rPr>
        <w:rFonts w:cs="Arial" w:ascii="Arial" w:hAnsi="Arial"/>
        <w:sz w:val="21"/>
        <w:szCs w:val="21"/>
      </w:rPr>
      <w:t>Accountability, Determination, Honesty and Respect, Making a Difference, Working Together</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t>June 2026</w:t>
    </w:r>
  </w:p>
</w:hdr>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
      <w:color w:val="auto"/>
      <w:kern w:val="0"/>
      <w:sz w:val="22"/>
      <w:szCs w:val="22"/>
      <w:lang w:val="en-GB" w:eastAsia="en-US" w:bidi="ar-SA"/>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000FF"/>
      <w:u w:val="single"/>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CommentSubjectChar">
    <w:name w:val="Comment Subject Char"/>
    <w:basedOn w:val="CommentTextChar"/>
    <w:qFormat/>
    <w:rPr>
      <w:b/>
      <w:bCs/>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64" w:before="0" w:after="0"/>
      <w:ind w:left="720" w:right="0" w:hanging="0"/>
      <w:contextualSpacing/>
    </w:pPr>
    <w:rPr>
      <w:rFonts w:ascii="Arial" w:hAnsi="Arial" w:eastAsia="Times New Roman" w:cs="Times New Roman"/>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Annotationtext">
    <w:name w:val="annotation text"/>
    <w:basedOn w:val="Normal"/>
    <w:qFormat/>
    <w:pPr>
      <w:spacing w:lineRule="auto" w:line="240"/>
    </w:pPr>
    <w:rPr>
      <w:sz w:val="20"/>
      <w:szCs w:val="20"/>
    </w:rPr>
  </w:style>
  <w:style w:type="paragraph" w:styleId="Annotationsubject">
    <w:name w:val="annotation subject"/>
    <w:basedOn w:val="Annotationtext"/>
    <w:next w:val="Annotationtext"/>
    <w:qFormat/>
    <w:pPr/>
    <w:rPr>
      <w:b/>
      <w:bC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2026-06-18T15:33:00Z</dcterms:created>
  <dc:creator>Johnson, Andrew</dc:creator>
  <dc:description/>
  <dc:language>en-US</dc:language>
  <cp:lastModifiedBy>Smythe, Stuart</cp:lastModifiedBy>
  <cp:lastPrinted>1995-11-21T17:41:00Z</cp:lastPrinted>
  <dcterms:modified xsi:type="dcterms:W3CDTF">2026-06-18T15:33:00Z</dcterms:modified>
  <cp:revision>2</cp:revision>
  <dc:subject/>
  <dc:title>Job Description and Personnel Specification</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Bolton Document Type">
    <vt:lpwstr>95;#Templates|db1bba78-799d-4873-a494-686ebe9dc4a8</vt:lpwstr>
  </property>
  <property fmtid="{D5CDD505-2E9C-101B-9397-08002B2CF9AE}" pid="4" name="ContentTypeId">
    <vt:lpwstr>0x010100B8BD5F9F301C364BACAA8C02D47677C8</vt:lpwstr>
  </property>
  <property fmtid="{D5CDD505-2E9C-101B-9397-08002B2CF9AE}" pid="5" name="DocSecurity">
    <vt:i4>4</vt:i4>
  </property>
  <property fmtid="{D5CDD505-2E9C-101B-9397-08002B2CF9AE}" pid="6" name="Function">
    <vt:lpwstr>21;#Human Resources|ad161ebb-ba4f-462c-bc0e-044fa3792e1e</vt:lpwstr>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y fmtid="{D5CDD505-2E9C-101B-9397-08002B2CF9AE}" pid="11" name="Topic">
    <vt:lpwstr>6;#Workplace|0eca40e7-1b69-41ab-b4d3-fcac60499f36</vt:lpwstr>
  </property>
</Properties>
</file>