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eastAsia="Arial" w:cs="Arial"/>
        </w:rPr>
      </w:pPr>
      <w:r>
        <w:rPr>
          <w:rFonts w:eastAsia="Arial" w:cs="Arial" w:ascii="Arial" w:hAnsi="Arial"/>
        </w:rPr>
        <w:t xml:space="preserve"> </w:t>
      </w:r>
    </w:p>
    <w:p>
      <w:pPr>
        <w:pStyle w:val="Normal"/>
        <w:rPr>
          <w:rFonts w:ascii="Arial" w:hAnsi="Arial" w:cs="Arial"/>
          <w:b/>
          <w:b/>
          <w:bCs/>
        </w:rPr>
      </w:pPr>
      <w:r>
        <w:rPr>
          <w:rFonts w:cs="Arial" w:ascii="Arial" w:hAnsi="Arial"/>
          <w:b/>
          <w:bCs/>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ADULT SERVICES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ACCOMMODATION SUPPORT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GRADE F</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eastAsia="Times New Roman" w:cs="Arial"/>
                <w:lang w:eastAsia="en-GB"/>
              </w:rPr>
            </w:pPr>
            <w:r>
              <w:rPr>
                <w:rFonts w:eastAsia="Times New Roman" w:cs="Arial" w:ascii="Arial" w:hAnsi="Arial"/>
                <w:lang w:eastAsia="en-GB"/>
              </w:rPr>
              <w:t>To assist the Housing Options Service Manager in providing support services to vulnerable customers with temporary accommodation in dispersed and other temporary placements such as hotels and b&amp;bs.</w:t>
            </w:r>
          </w:p>
          <w:p>
            <w:pPr>
              <w:pStyle w:val="Normal"/>
              <w:spacing w:lineRule="auto" w:line="240" w:before="60" w:after="60"/>
              <w:rPr>
                <w:rFonts w:ascii="Arial" w:hAnsi="Arial" w:eastAsia="Times New Roman" w:cs="Arial"/>
                <w:lang w:eastAsia="en-GB"/>
              </w:rPr>
            </w:pPr>
            <w:r>
              <w:rPr>
                <w:rFonts w:eastAsia="Times New Roman" w:cs="Arial" w:ascii="Arial" w:hAnsi="Arial"/>
                <w:lang w:eastAsia="en-GB"/>
              </w:rPr>
              <w:t>Duties relating to the arrangement of appropriate placements and the management of temporary accommodation.</w:t>
            </w:r>
          </w:p>
          <w:p>
            <w:pPr>
              <w:pStyle w:val="Normal"/>
              <w:spacing w:lineRule="auto" w:line="240" w:before="60" w:after="60"/>
              <w:rPr>
                <w:rFonts w:ascii="Arial" w:hAnsi="Arial" w:eastAsia="Times New Roman" w:cs="Arial"/>
                <w:lang w:eastAsia="en-GB"/>
              </w:rPr>
            </w:pPr>
            <w:r>
              <w:rPr>
                <w:rFonts w:eastAsia="Times New Roman" w:cs="Arial" w:ascii="Arial" w:hAnsi="Arial"/>
                <w:lang w:eastAsia="en-GB"/>
              </w:rPr>
              <w:t xml:space="preserve">To provide an office support service to staff and management and work closely with other agencies both external and internal. </w:t>
            </w:r>
          </w:p>
          <w:p>
            <w:pPr>
              <w:pStyle w:val="Normal"/>
              <w:spacing w:lineRule="auto" w:line="240" w:before="60" w:after="6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 xml:space="preserve">Housing Options Service Manager (temporary accommodation)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w:t>
            </w:r>
          </w:p>
        </w:tc>
        <w:tc>
          <w:tcPr>
            <w:tcW w:w="8829" w:type="dxa"/>
            <w:gridSpan w:val="2"/>
            <w:tcBorders/>
            <w:shd w:fill="auto" w:val="clear"/>
          </w:tcPr>
          <w:p>
            <w:pPr>
              <w:pStyle w:val="Normal"/>
              <w:spacing w:lineRule="auto" w:line="240" w:before="60" w:after="60"/>
              <w:rPr>
                <w:rFonts w:ascii="Arial" w:hAnsi="Arial" w:cs="Arial"/>
                <w:bCs/>
              </w:rPr>
            </w:pPr>
            <w:r>
              <w:rPr>
                <w:rFonts w:cs="Arial" w:ascii="Arial" w:hAnsi="Arial"/>
                <w:bCs/>
              </w:rPr>
              <w:t>To receive initial referrals and obtain all necessary information, to assess, source and  arrange appropriate placements and/or suitable accommodation to meet customers needs</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2</w:t>
            </w:r>
          </w:p>
        </w:tc>
        <w:tc>
          <w:tcPr>
            <w:tcW w:w="8829" w:type="dxa"/>
            <w:gridSpan w:val="2"/>
            <w:tcBorders/>
            <w:shd w:fill="auto" w:val="clear"/>
          </w:tcPr>
          <w:p>
            <w:pPr>
              <w:pStyle w:val="Normal"/>
              <w:spacing w:lineRule="auto" w:line="240" w:before="60" w:after="60"/>
              <w:rPr>
                <w:rFonts w:ascii="Arial" w:hAnsi="Arial" w:cs="Arial"/>
                <w:bCs/>
              </w:rPr>
            </w:pPr>
            <w:r>
              <w:rPr>
                <w:rFonts w:cs="Arial" w:ascii="Arial" w:hAnsi="Arial"/>
                <w:bCs/>
              </w:rPr>
              <w:t xml:space="preserve">To find emergency accommodation for single people/families who are in housing crisis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3</w:t>
            </w:r>
          </w:p>
        </w:tc>
        <w:tc>
          <w:tcPr>
            <w:tcW w:w="8829" w:type="dxa"/>
            <w:gridSpan w:val="2"/>
            <w:tcBorders/>
            <w:shd w:fill="auto" w:val="clear"/>
          </w:tcPr>
          <w:p>
            <w:pPr>
              <w:pStyle w:val="Normal"/>
              <w:spacing w:lineRule="auto" w:line="240" w:before="60" w:after="60"/>
              <w:rPr>
                <w:rFonts w:ascii="Arial" w:hAnsi="Arial" w:cs="Arial"/>
                <w:bCs/>
              </w:rPr>
            </w:pPr>
            <w:r>
              <w:rPr>
                <w:rFonts w:cs="Arial" w:ascii="Arial" w:hAnsi="Arial"/>
                <w:bCs/>
              </w:rPr>
              <w:t xml:space="preserve">To provide an out of hours service to assist the Emergency Duty Team with homeless presentations and emergencies.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4</w:t>
            </w:r>
          </w:p>
        </w:tc>
        <w:tc>
          <w:tcPr>
            <w:tcW w:w="8829" w:type="dxa"/>
            <w:gridSpan w:val="2"/>
            <w:tcBorders/>
            <w:shd w:fill="auto" w:val="clear"/>
          </w:tcPr>
          <w:p>
            <w:pPr>
              <w:pStyle w:val="Normal"/>
              <w:spacing w:lineRule="auto" w:line="240" w:before="60" w:after="60"/>
              <w:rPr>
                <w:rFonts w:ascii="Arial" w:hAnsi="Arial" w:cs="Arial"/>
                <w:bCs/>
              </w:rPr>
            </w:pPr>
            <w:r>
              <w:rPr>
                <w:rFonts w:cs="Arial" w:ascii="Arial" w:hAnsi="Arial"/>
                <w:bCs/>
              </w:rPr>
              <w:t xml:space="preserve">To provide (out of hours ) support and assistance to customers and accommodation providers for the ABEN/Outreach Team </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5</w:t>
            </w:r>
          </w:p>
        </w:tc>
        <w:tc>
          <w:tcPr>
            <w:tcW w:w="8829" w:type="dxa"/>
            <w:gridSpan w:val="2"/>
            <w:tcBorders/>
            <w:shd w:fill="auto" w:val="clear"/>
          </w:tcPr>
          <w:p>
            <w:pPr>
              <w:pStyle w:val="Normal"/>
              <w:spacing w:lineRule="auto" w:line="240" w:before="0" w:after="0"/>
              <w:rPr/>
            </w:pPr>
            <w:r>
              <w:rPr>
                <w:rFonts w:eastAsia="Times New Roman" w:cs="Arial" w:ascii="Arial" w:hAnsi="Arial"/>
                <w:lang w:eastAsia="en-GB"/>
              </w:rPr>
              <w:t xml:space="preserve">Collection &amp; deposit of relevant charges, maintenance of accurate records and other tasks related to cash handling as appropriate </w:t>
            </w:r>
            <w:r>
              <w:rPr>
                <w:rFonts w:cs="Arial" w:ascii="Arial" w:hAnsi="Arial"/>
                <w:color w:val="000000"/>
              </w:rPr>
              <w:t>relating to temporary accommodation.</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6</w:t>
            </w:r>
          </w:p>
        </w:tc>
        <w:tc>
          <w:tcPr>
            <w:tcW w:w="8829"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Provide appropriate support services to customers, including those who may be vulnerable and/or subject to safeguarding, within the council’s temporary accommodation units.</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7</w:t>
            </w:r>
          </w:p>
        </w:tc>
        <w:tc>
          <w:tcPr>
            <w:tcW w:w="8829" w:type="dxa"/>
            <w:gridSpan w:val="2"/>
            <w:tcBorders/>
            <w:shd w:fill="auto" w:val="clear"/>
          </w:tcPr>
          <w:p>
            <w:pPr>
              <w:pStyle w:val="Normal"/>
              <w:spacing w:lineRule="auto" w:line="240" w:before="60" w:after="60"/>
              <w:rPr/>
            </w:pPr>
            <w:r>
              <w:rPr>
                <w:rFonts w:cs="Arial" w:ascii="Arial" w:hAnsi="Arial"/>
                <w:color w:val="000000"/>
              </w:rPr>
              <w:t xml:space="preserve">Advising </w:t>
            </w:r>
            <w:r>
              <w:rPr>
                <w:rFonts w:cs="Arial" w:ascii="Arial" w:hAnsi="Arial"/>
                <w:bCs/>
                <w:color w:val="000000"/>
              </w:rPr>
              <w:t>and assisting</w:t>
            </w:r>
            <w:r>
              <w:rPr>
                <w:rFonts w:cs="Arial" w:ascii="Arial" w:hAnsi="Arial"/>
                <w:color w:val="000000"/>
              </w:rPr>
              <w:t xml:space="preserve"> customers in relation to a variety of issues, such as benefits, housing, living skills, budgeting; including networking with other agencies,</w:t>
            </w:r>
            <w:r>
              <w:rPr>
                <w:rFonts w:cs="Arial" w:ascii="Arial" w:hAnsi="Arial"/>
                <w:bCs/>
                <w:color w:val="000000"/>
              </w:rPr>
              <w:t xml:space="preserve"> providing supporting letters, case updates and assistance with appeals</w:t>
            </w:r>
            <w:r>
              <w:rPr>
                <w:rFonts w:cs="Arial" w:ascii="Arial" w:hAnsi="Arial"/>
                <w:color w:val="000000"/>
              </w:rPr>
              <w:t xml:space="preserve"> when appropriate.</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Assisting customers where possible, to improve life skills;providing a partnership with customers to set up Support Plans including setting targets to reduce debt arrears, setting up bank accounts registering for Housing Services within social housing and private let schemes.  Whilst still encouraging the customer to be independent.</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partners and customers to ensure delivery and equality of access to services for our customers</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Liaise with other agencies and attend meetings where applicable</w:t>
            </w:r>
          </w:p>
        </w:tc>
      </w:tr>
      <w:tr>
        <w:trPr>
          <w:trHeight w:val="506" w:hRule="atLeast"/>
        </w:trPr>
        <w:tc>
          <w:tcPr>
            <w:tcW w:w="808" w:type="dxa"/>
            <w:tcBorders/>
            <w:shd w:fill="auto" w:val="clear"/>
          </w:tcPr>
          <w:p>
            <w:pPr>
              <w:pStyle w:val="Normal"/>
              <w:spacing w:lineRule="auto" w:line="240" w:before="0" w:after="0"/>
              <w:rPr>
                <w:rFonts w:ascii="Arial" w:hAnsi="Arial" w:cs="Arial"/>
                <w:b/>
                <w:b/>
                <w:bCs/>
              </w:rPr>
            </w:pPr>
            <w:r>
              <w:rPr>
                <w:rFonts w:cs="Arial" w:ascii="Arial" w:hAnsi="Arial"/>
                <w:b/>
                <w:bCs/>
              </w:rPr>
              <w:t>11</w:t>
            </w:r>
          </w:p>
        </w:tc>
        <w:tc>
          <w:tcPr>
            <w:tcW w:w="8829" w:type="dxa"/>
            <w:gridSpan w:val="2"/>
            <w:tcBorders/>
            <w:shd w:fill="auto" w:val="clear"/>
          </w:tcPr>
          <w:p>
            <w:pPr>
              <w:pStyle w:val="Normal"/>
              <w:spacing w:lineRule="auto" w:line="240" w:before="60" w:after="60"/>
              <w:rPr>
                <w:rFonts w:ascii="Arial" w:hAnsi="Arial" w:eastAsia="Times New Roman" w:cs="Arial"/>
                <w:lang w:eastAsia="en-GB"/>
              </w:rPr>
            </w:pPr>
            <w:r>
              <w:rPr>
                <w:rFonts w:eastAsia="Times New Roman" w:cs="Arial" w:ascii="Arial" w:hAnsi="Arial"/>
                <w:lang w:eastAsia="en-GB"/>
              </w:rPr>
              <w:t>Arrange appropriate placement of households in suitable temporary accommodation, managing admission, discharge and provision of appropriate resources as required.</w:t>
            </w:r>
          </w:p>
          <w:p>
            <w:pPr>
              <w:pStyle w:val="Normal"/>
              <w:spacing w:lineRule="auto" w:line="240" w:before="60" w:after="6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keepLines/>
              <w:widowControl w:val="false"/>
              <w:spacing w:lineRule="auto" w:line="240" w:before="0" w:after="0"/>
              <w:rPr/>
            </w:pPr>
            <w:r>
              <w:rPr>
                <w:rFonts w:eastAsia="Times New Roman" w:cs="Arial" w:ascii="Arial" w:hAnsi="Arial"/>
                <w:lang w:eastAsia="en-GB"/>
              </w:rPr>
              <w:t>Provide office/administrative support, including diary management as appropriate.</w:t>
            </w:r>
            <w:r>
              <w:rPr>
                <w:rFonts w:cs="Arial" w:ascii="Arial" w:hAnsi="Arial"/>
              </w:rPr>
              <w:t xml:space="preserve"> To check and maintain all case file, data base and monitoring records in good order, keep customer leaflets up to date and available and prepare &amp; provide required monitoring information as required in good time.</w:t>
            </w:r>
          </w:p>
          <w:p>
            <w:pPr>
              <w:pStyle w:val="Normal"/>
              <w:keepLines/>
              <w:widowControl w:val="false"/>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pPr>
            <w:r>
              <w:rPr>
                <w:rFonts w:eastAsia="Times New Roman" w:cs="Arial" w:ascii="Arial" w:hAnsi="Arial"/>
                <w:lang w:eastAsia="en-GB"/>
              </w:rPr>
              <w:t>Assist in the day to day management and security of the temporary accommodation including maintenance of security processes &amp; procedures and ensuring the suitability of accommodation, responding to &amp; reporting issues as appropriate.</w:t>
            </w:r>
            <w:r>
              <w:rPr>
                <w:rFonts w:cs="Arial" w:ascii="Arial" w:hAnsi="Arial"/>
              </w:rPr>
              <w:t xml:space="preserve"> Ensuring safe working practices within the immediate work area, in conjunction with council Health and Safety Policies.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Where appropriate provide assistance in moving furniture, customer belongings and provision of other resources as required in line with manual handling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Anti-social behaviour management: to assess all reports of anti-social activity and failure to adhere to both licenses and non secure tenancy conditions.  Including making recommendations for legal action where necessary.  To work closely with customers and partners to find solutions to alleviate the causes of anti-sicial behaviour  </w:t>
            </w:r>
          </w:p>
        </w:tc>
      </w:tr>
      <w:tr>
        <w:trPr/>
        <w:tc>
          <w:tcPr>
            <w:tcW w:w="4572" w:type="dxa"/>
            <w:gridSpan w:val="2"/>
            <w:tcBorders/>
            <w:shd w:fill="auto" w:val="clear"/>
          </w:tcPr>
          <w:p>
            <w:pPr>
              <w:pStyle w:val="Normal"/>
              <w:spacing w:lineRule="auto" w:line="240" w:before="0" w:after="0"/>
              <w:rPr/>
            </w:pPr>
            <w:r>
              <w:rPr>
                <w:rFonts w:cs="Arial" w:ascii="Arial" w:hAnsi="Arial"/>
                <w:b/>
              </w:rPr>
              <w:t xml:space="preserve">Date Job Description </w:t>
            </w:r>
            <w:r>
              <w:rPr>
                <w:rFonts w:cs="Arial" w:ascii="Arial" w:hAnsi="Arial"/>
                <w:b/>
                <w:strike/>
              </w:rPr>
              <w:t>prepared/</w:t>
            </w:r>
            <w:r>
              <w:rPr>
                <w:rFonts w:cs="Arial" w:ascii="Arial" w:hAnsi="Arial"/>
                <w:b/>
              </w:rPr>
              <w:t>updated:</w:t>
            </w:r>
          </w:p>
        </w:tc>
        <w:tc>
          <w:tcPr>
            <w:tcW w:w="5065" w:type="dxa"/>
            <w:tcBorders/>
            <w:shd w:fill="auto" w:val="clear"/>
          </w:tcPr>
          <w:p>
            <w:pPr>
              <w:pStyle w:val="Normal"/>
              <w:spacing w:lineRule="auto" w:line="240" w:before="0" w:after="0"/>
              <w:rPr>
                <w:rFonts w:ascii="Arial" w:hAnsi="Arial" w:cs="Arial"/>
                <w:b/>
                <w:b/>
                <w:bCs/>
                <w:lang w:eastAsia="en-GB"/>
              </w:rPr>
            </w:pPr>
            <w:r>
              <w:rPr>
                <w:rFonts w:cs="Arial" w:ascii="Arial" w:hAnsi="Arial"/>
                <w:b/>
                <w:bCs/>
                <w:lang w:eastAsia="en-GB"/>
              </w:rPr>
              <w:t>Housing Options Service Manager (temporary accommodation)</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March 2023</w:t>
            </w:r>
          </w:p>
        </w:tc>
      </w:tr>
    </w:tbl>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Person Specification</w:t>
      </w:r>
    </w:p>
    <w:tbl>
      <w:tblPr>
        <w:tblW w:w="10075" w:type="dxa"/>
        <w:jc w:val="left"/>
        <w:tblInd w:w="0" w:type="dxa"/>
        <w:tblCellMar>
          <w:top w:w="0" w:type="dxa"/>
          <w:left w:w="108" w:type="dxa"/>
          <w:bottom w:w="0" w:type="dxa"/>
          <w:right w:w="108" w:type="dxa"/>
        </w:tblCellMar>
      </w:tblPr>
      <w:tblGrid>
        <w:gridCol w:w="675"/>
        <w:gridCol w:w="33"/>
        <w:gridCol w:w="959"/>
        <w:gridCol w:w="141"/>
        <w:gridCol w:w="4003"/>
        <w:gridCol w:w="656"/>
        <w:gridCol w:w="19"/>
        <w:gridCol w:w="3579"/>
        <w:gridCol w:w="10"/>
      </w:tblGrid>
      <w:tr>
        <w:trPr/>
        <w:tc>
          <w:tcPr>
            <w:tcW w:w="1667"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398" w:type="dxa"/>
            <w:gridSpan w:val="5"/>
            <w:tcBorders/>
            <w:shd w:fill="auto" w:val="clear"/>
          </w:tcPr>
          <w:p>
            <w:pPr>
              <w:pStyle w:val="Normal"/>
              <w:spacing w:lineRule="auto" w:line="240" w:before="60" w:after="60"/>
              <w:rPr>
                <w:rFonts w:ascii="Arial" w:hAnsi="Arial" w:cs="Arial"/>
                <w:b/>
                <w:b/>
                <w:caps/>
              </w:rPr>
            </w:pPr>
            <w:r>
              <w:rPr>
                <w:rFonts w:cs="Arial" w:ascii="Arial" w:hAnsi="Arial"/>
                <w:b/>
                <w:caps/>
              </w:rPr>
              <w:t xml:space="preserve">ADULT SERVICES </w:t>
            </w:r>
          </w:p>
        </w:tc>
      </w:tr>
      <w:tr>
        <w:trPr/>
        <w:tc>
          <w:tcPr>
            <w:tcW w:w="1667"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398"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ACCOMMODATION SUPPORT OFFICER</w:t>
            </w:r>
          </w:p>
        </w:tc>
      </w:tr>
      <w:tr>
        <w:trPr/>
        <w:tc>
          <w:tcPr>
            <w:tcW w:w="1667"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408"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9390"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the issues relating to homelessness.</w:t>
            </w:r>
          </w:p>
        </w:tc>
        <w:tc>
          <w:tcPr>
            <w:tcW w:w="357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interpret legislation and guidance to ensure the provision of safe accommodation placements for those presenting as homeless who the council have a duty to accommodate. </w:t>
            </w:r>
          </w:p>
        </w:tc>
        <w:tc>
          <w:tcPr>
            <w:tcW w:w="357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pPr>
            <w:r>
              <w:rPr/>
              <w:t>3.</w:t>
            </w:r>
          </w:p>
        </w:tc>
        <w:tc>
          <w:tcPr>
            <w:tcW w:w="581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of the issues relating to safeguarding children &amp; vulnerable adults</w:t>
            </w:r>
          </w:p>
        </w:tc>
        <w:tc>
          <w:tcPr>
            <w:tcW w:w="357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pPr>
            <w:r>
              <w:rPr/>
              <w:t>4.</w:t>
            </w:r>
          </w:p>
        </w:tc>
        <w:tc>
          <w:tcPr>
            <w:tcW w:w="5811"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deal with, offer guidance and support to resolve sensitive issues and housing crisis.</w:t>
            </w:r>
          </w:p>
        </w:tc>
        <w:tc>
          <w:tcPr>
            <w:tcW w:w="3579"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5.</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Able to communicate effectively with individuals and groups, internal and external of the council at all levels both verbally and in writing on housing, community living, benefits, life experiences, child protection/conferences. </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6.</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analyse problems and present viable options.</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7.</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to budget guidelines</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8.</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Able to work to deadlines and react to emergency situations that require immediate response. </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9.</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as well as demonstrating the ability to organise, prioritise and evaluate own workload and working with minimal supervision and own initiative.</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10.</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deal with complex cases requiring quick and independent decision making.</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lineRule="auto" w:line="240" w:before="120" w:after="120"/>
              <w:rPr/>
            </w:pPr>
            <w:r>
              <w:rPr/>
              <w:t>11.</w:t>
            </w:r>
          </w:p>
        </w:tc>
        <w:tc>
          <w:tcPr>
            <w:tcW w:w="5811"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with community groups.</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811" w:type="dxa"/>
            <w:gridSpan w:val="6"/>
            <w:tcBorders>
              <w:bottom w:val="single" w:sz="4" w:space="0" w:color="000000"/>
            </w:tcBorders>
            <w:shd w:fill="auto" w:val="clear"/>
          </w:tcPr>
          <w:p>
            <w:pPr>
              <w:pStyle w:val="Normal"/>
              <w:spacing w:lineRule="auto" w:line="240" w:before="120" w:after="120"/>
              <w:ind w:left="0" w:right="175" w:hanging="0"/>
              <w:rPr/>
            </w:pPr>
            <w:r>
              <w:rPr>
                <w:rFonts w:cs="Arial" w:ascii="Arial" w:hAnsi="Arial"/>
              </w:rPr>
              <w:t xml:space="preserve">IT skills to produce documents, letters and memos and diary management.  </w:t>
            </w:r>
            <w:r>
              <w:rPr>
                <w:rFonts w:eastAsia="Times New Roman" w:cs="Arial" w:ascii="Arial" w:hAnsi="Arial"/>
                <w:lang w:eastAsia="en-GB"/>
              </w:rPr>
              <w:t>Ability to maintain input and retrieve information accurately</w:t>
            </w:r>
            <w:r>
              <w:rPr>
                <w:rFonts w:cs="Arial" w:ascii="Arial" w:hAnsi="Arial"/>
              </w:rPr>
              <w:t xml:space="preserve"> </w:t>
            </w:r>
            <w:r>
              <w:rPr>
                <w:rFonts w:eastAsia="Times New Roman" w:cs="Arial" w:ascii="Arial" w:hAnsi="Arial"/>
                <w:lang w:eastAsia="en-GB"/>
              </w:rPr>
              <w:t xml:space="preserve">both manual and electronic.  </w:t>
            </w:r>
          </w:p>
        </w:tc>
        <w:tc>
          <w:tcPr>
            <w:tcW w:w="3579"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 Test</w:t>
            </w:r>
          </w:p>
        </w:tc>
      </w:tr>
      <w:tr>
        <w:trPr>
          <w:cantSplit w:val="true"/>
        </w:trPr>
        <w:tc>
          <w:tcPr>
            <w:tcW w:w="675" w:type="dxa"/>
            <w:tcBorders/>
            <w:shd w:fill="auto" w:val="clear"/>
          </w:tcPr>
          <w:p>
            <w:pPr>
              <w:pStyle w:val="Normal"/>
              <w:spacing w:lineRule="auto" w:line="240" w:before="120" w:after="120"/>
              <w:rPr>
                <w:rFonts w:ascii="Arial" w:hAnsi="Arial" w:cs="Arial"/>
              </w:rPr>
            </w:pPr>
            <w:r>
              <w:rPr>
                <w:rFonts w:cs="Arial" w:ascii="Arial" w:hAnsi="Arial"/>
              </w:rPr>
              <w:t>13</w:t>
            </w:r>
          </w:p>
        </w:tc>
        <w:tc>
          <w:tcPr>
            <w:tcW w:w="5811"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79"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70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5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willing to undertake appropriate training and development in order to meet the requirements of the post</w:t>
            </w:r>
          </w:p>
        </w:tc>
        <w:tc>
          <w:tcPr>
            <w:tcW w:w="35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70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5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5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70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75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5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70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75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598"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808"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26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486"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89"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Word/Excel/Outlook</w:t>
            </w:r>
          </w:p>
        </w:tc>
        <w:tc>
          <w:tcPr>
            <w:tcW w:w="3579"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10075"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811"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5"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811"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7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1" w:type="dxa"/>
            <w:gridSpan w:val="5"/>
            <w:tcBorders/>
            <w:shd w:fill="auto" w:val="clear"/>
          </w:tcPr>
          <w:p>
            <w:pPr>
              <w:pStyle w:val="Normal"/>
              <w:spacing w:lineRule="auto" w:line="240" w:before="0" w:after="0"/>
              <w:rPr/>
            </w:pPr>
            <w:r>
              <w:rPr>
                <w:rFonts w:cs="Arial" w:ascii="Arial" w:hAnsi="Arial"/>
                <w:b/>
              </w:rPr>
              <w:t xml:space="preserve">Date Person Specification </w:t>
            </w:r>
            <w:r>
              <w:rPr>
                <w:rFonts w:cs="Arial" w:ascii="Arial" w:hAnsi="Arial"/>
                <w:b/>
                <w:strike/>
              </w:rPr>
              <w:t>prepared</w:t>
            </w:r>
            <w:r>
              <w:rPr>
                <w:rFonts w:cs="Arial" w:ascii="Arial" w:hAnsi="Arial"/>
                <w:b/>
              </w:rPr>
              <w:t>/updated</w:t>
            </w:r>
          </w:p>
        </w:tc>
        <w:tc>
          <w:tcPr>
            <w:tcW w:w="4254" w:type="dxa"/>
            <w:gridSpan w:val="3"/>
            <w:tcBorders/>
            <w:shd w:fill="auto" w:val="clear"/>
          </w:tcPr>
          <w:p>
            <w:pPr>
              <w:pStyle w:val="Normal"/>
              <w:spacing w:lineRule="auto" w:line="240" w:before="0" w:after="0"/>
              <w:rPr>
                <w:rFonts w:ascii="Arial" w:hAnsi="Arial" w:cs="Arial"/>
                <w:b/>
                <w:b/>
                <w:bCs/>
                <w:lang w:eastAsia="en-GB"/>
              </w:rPr>
            </w:pPr>
            <w:r>
              <w:rPr>
                <w:rFonts w:cs="Arial" w:ascii="Arial" w:hAnsi="Arial"/>
                <w:b/>
                <w:bCs/>
                <w:lang w:eastAsia="en-GB"/>
              </w:rPr>
              <w:t>Housing Options Service Manager (temporary accommodation)</w:t>
            </w:r>
          </w:p>
        </w:tc>
      </w:tr>
      <w:tr>
        <w:trPr/>
        <w:tc>
          <w:tcPr>
            <w:tcW w:w="5811"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254" w:type="dxa"/>
            <w:gridSpan w:val="3"/>
            <w:tcBorders/>
            <w:shd w:fill="auto" w:val="clear"/>
          </w:tcPr>
          <w:p>
            <w:pPr>
              <w:pStyle w:val="Normal"/>
              <w:spacing w:lineRule="auto" w:line="240" w:before="0" w:after="0"/>
              <w:rPr>
                <w:rFonts w:ascii="Arial" w:hAnsi="Arial" w:cs="Arial"/>
                <w:b/>
                <w:b/>
              </w:rPr>
            </w:pPr>
            <w:r>
              <w:rPr>
                <w:rFonts w:cs="Arial" w:ascii="Arial" w:hAnsi="Arial"/>
                <w:b/>
              </w:rPr>
              <w:t>March 2023</w:t>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2023-07-13T14:34:00Z</dcterms:created>
  <dc:creator>Johnson, Andrew</dc:creator>
  <dc:description/>
  <dc:language>en-US</dc:language>
  <cp:lastModifiedBy>Lowe, Gary</cp:lastModifiedBy>
  <cp:lastPrinted>1995-11-21T17:41:00Z</cp:lastPrinted>
  <dcterms:modified xsi:type="dcterms:W3CDTF">2026-01-06T15:42:00Z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