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where the Governing Body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0" w:name="_Hlk511290235"/>
      <w:bookmarkStart w:id="1" w:name="_Hlk511290235"/>
      <w:bookmarkEnd w:id="1"/>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pPr>
      <w:r>
        <w:rPr>
          <w:rFonts w:cs="Arial"/>
          <w:iCs/>
          <w:lang w:val="en-GB"/>
        </w:rPr>
        <w:t xml:space="preserve">The Disclosure Form will only be seen by those persons within the school and / or Governing Body </w:t>
      </w:r>
      <w:bookmarkStart w:id="2" w:name="_GoBack"/>
      <w:bookmarkEnd w:id="2"/>
      <w:r>
        <w:rPr>
          <w:rFonts w:cs="Arial"/>
          <w:iCs/>
          <w:lang w:val="en-GB"/>
        </w:rPr>
        <w:t>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4"/>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2025-02-10T09:55:00Z</dcterms:created>
  <dc:creator>Cassandra Hurley</dc:creator>
  <dc:description/>
  <dc:language>en-US</dc:language>
  <cp:lastModifiedBy>N Heaton</cp:lastModifiedBy>
  <cp:lastPrinted>1995-11-21T17:41:00Z</cp:lastPrinted>
  <dcterms:modified xsi:type="dcterms:W3CDTF">2025-02-10T09:55:00Z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