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2">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Arial"/>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34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cs="Arial"/>
                <w:b/>
                <w:b/>
              </w:rPr>
            </w:pPr>
            <w:r>
              <w:rPr>
                <w:rFonts w:cs="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cs="Arial"/>
                <w:b/>
                <w:b/>
                <w:caps/>
              </w:rPr>
            </w:pPr>
            <w:r>
              <w:rPr>
                <w:rFonts w:cs="Arial"/>
                <w:b/>
                <w:caps/>
              </w:rPr>
              <w:t>CORPORATE RESOURCES</w:t>
            </w:r>
          </w:p>
        </w:tc>
      </w:tr>
      <w:tr>
        <w:trPr>
          <w:trHeight w:val="34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cs="Arial"/>
                <w:b/>
                <w:b/>
              </w:rPr>
            </w:pPr>
            <w:r>
              <w:rPr>
                <w:rFonts w:cs="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cs="Arial"/>
                <w:b/>
                <w:b/>
                <w:caps/>
              </w:rPr>
            </w:pPr>
            <w:r>
              <w:rPr>
                <w:rFonts w:cs="Arial"/>
                <w:b/>
                <w:caps/>
              </w:rPr>
              <w:t>Programme Manager</w:t>
            </w:r>
          </w:p>
        </w:tc>
      </w:tr>
      <w:tr>
        <w:trPr>
          <w:trHeight w:val="34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cs="Arial"/>
                <w:b/>
                <w:b/>
              </w:rPr>
            </w:pPr>
            <w:r>
              <w:rPr>
                <w:rFonts w:cs="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cs="Arial"/>
              </w:rPr>
            </w:pPr>
            <w:r>
              <w:rPr>
                <w:rFonts w:cs="Arial"/>
              </w:rPr>
              <w:t>K</w:t>
            </w:r>
          </w:p>
        </w:tc>
      </w:tr>
      <w:tr>
        <w:trPr>
          <w:trHeight w:val="34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cs="Arial"/>
                <w:b/>
                <w:b/>
              </w:rPr>
            </w:pPr>
            <w:r>
              <w:rPr>
                <w:rFonts w:cs="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eastAsia="Times New Roman" w:cs="Arial"/>
                <w:lang w:eastAsia="en-GB"/>
              </w:rPr>
            </w:pPr>
            <w:r>
              <w:rPr>
                <w:rFonts w:eastAsia="Times New Roman" w:cs="Arial"/>
                <w:lang w:eastAsia="en-GB"/>
              </w:rPr>
              <w:t>To manage large-scale and complex Council transformation programmes, ensuring value for money and effective use of resources to meet Council priorities.</w:t>
            </w:r>
          </w:p>
        </w:tc>
      </w:tr>
      <w:tr>
        <w:trPr>
          <w:trHeight w:val="34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cs="Arial"/>
                <w:b/>
                <w:b/>
              </w:rPr>
            </w:pPr>
            <w:r>
              <w:rPr>
                <w:rFonts w:cs="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cs="Arial"/>
              </w:rPr>
            </w:pPr>
            <w:r>
              <w:rPr>
                <w:rFonts w:cs="Arial"/>
              </w:rPr>
              <w:t>Head of Transformation</w:t>
            </w:r>
          </w:p>
        </w:tc>
      </w:tr>
      <w:tr>
        <w:trPr>
          <w:trHeight w:val="34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cs="Arial"/>
                <w:b/>
                <w:b/>
              </w:rPr>
            </w:pPr>
            <w:r>
              <w:rPr>
                <w:rFonts w:cs="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cs="Arial"/>
              </w:rPr>
            </w:pPr>
            <w:r>
              <w:rPr>
                <w:rFonts w:cs="Arial"/>
              </w:rPr>
              <w:t>None (project team matrix reports only)</w:t>
            </w:r>
          </w:p>
        </w:tc>
      </w:tr>
    </w:tbl>
    <w:p>
      <w:pPr>
        <w:pStyle w:val="Normal"/>
        <w:spacing w:lineRule="auto" w:line="240" w:before="0" w:after="120"/>
        <w:rPr>
          <w:rFonts w:cs="Arial"/>
          <w:sz w:val="16"/>
          <w:szCs w:val="16"/>
        </w:rPr>
      </w:pPr>
      <w:r>
        <w:rPr>
          <w:rFonts w:cs="Arial"/>
          <w:sz w:val="16"/>
          <w:szCs w:val="16"/>
        </w:rPr>
      </w:r>
    </w:p>
    <w:p>
      <w:pPr>
        <w:pStyle w:val="Normal"/>
        <w:spacing w:lineRule="auto" w:line="240" w:before="0" w:after="120"/>
        <w:rPr>
          <w:rFonts w:cs="Arial"/>
          <w:b/>
          <w:b/>
        </w:rPr>
      </w:pPr>
      <w:r>
        <w:rPr>
          <w:rFonts w:cs="Arial"/>
          <w:b/>
        </w:rPr>
        <w:t>Main Duties</w:t>
      </w:r>
    </w:p>
    <w:tbl>
      <w:tblPr>
        <w:tblW w:w="9627" w:type="dxa"/>
        <w:jc w:val="left"/>
        <w:tblInd w:w="0" w:type="dxa"/>
        <w:tblCellMar>
          <w:top w:w="0" w:type="dxa"/>
          <w:left w:w="108" w:type="dxa"/>
          <w:bottom w:w="0" w:type="dxa"/>
          <w:right w:w="108" w:type="dxa"/>
        </w:tblCellMar>
      </w:tblPr>
      <w:tblGrid>
        <w:gridCol w:w="562"/>
        <w:gridCol w:w="4004"/>
        <w:gridCol w:w="5061"/>
      </w:tblGrid>
      <w:tr>
        <w:trPr>
          <w:trHeight w:val="955" w:hRule="atLeast"/>
        </w:trPr>
        <w:tc>
          <w:tcPr>
            <w:tcW w:w="562" w:type="dxa"/>
            <w:tcBorders/>
            <w:shd w:fill="auto" w:val="clear"/>
          </w:tcPr>
          <w:p>
            <w:pPr>
              <w:pStyle w:val="Normal"/>
              <w:spacing w:lineRule="auto" w:line="240" w:before="0" w:after="0"/>
              <w:rPr>
                <w:rFonts w:cs="Arial"/>
                <w:b/>
                <w:b/>
              </w:rPr>
            </w:pPr>
            <w:r>
              <w:rPr>
                <w:rFonts w:cs="Arial"/>
                <w:b/>
              </w:rPr>
              <w:t>1</w:t>
            </w:r>
          </w:p>
        </w:tc>
        <w:tc>
          <w:tcPr>
            <w:tcW w:w="9065" w:type="dxa"/>
            <w:gridSpan w:val="2"/>
            <w:tcBorders/>
            <w:shd w:fill="auto" w:val="clear"/>
          </w:tcPr>
          <w:p>
            <w:pPr>
              <w:pStyle w:val="Normal"/>
              <w:spacing w:lineRule="auto" w:line="240" w:before="0" w:after="0"/>
              <w:jc w:val="both"/>
              <w:rPr>
                <w:rFonts w:eastAsia="Times New Roman" w:cs="Arial"/>
                <w:lang w:eastAsia="en-GB"/>
              </w:rPr>
            </w:pPr>
            <w:r>
              <w:rPr>
                <w:rFonts w:eastAsia="Times New Roman" w:cs="Arial"/>
                <w:lang w:eastAsia="en-GB"/>
              </w:rPr>
              <w:t>Manage large-scale and complex programmes of work across the Council.  Deploy strong programme management disciplines to ensure effective organisation and delivery of this work.</w:t>
            </w:r>
          </w:p>
        </w:tc>
      </w:tr>
      <w:tr>
        <w:trPr>
          <w:trHeight w:val="967" w:hRule="atLeast"/>
        </w:trPr>
        <w:tc>
          <w:tcPr>
            <w:tcW w:w="562" w:type="dxa"/>
            <w:tcBorders/>
            <w:shd w:fill="auto" w:val="clear"/>
          </w:tcPr>
          <w:p>
            <w:pPr>
              <w:pStyle w:val="Normal"/>
              <w:spacing w:lineRule="auto" w:line="240" w:before="0" w:after="0"/>
              <w:rPr>
                <w:rFonts w:cs="Arial"/>
                <w:b/>
                <w:b/>
              </w:rPr>
            </w:pPr>
            <w:r>
              <w:rPr>
                <w:rFonts w:cs="Arial"/>
                <w:b/>
              </w:rPr>
              <w:t>2</w:t>
            </w:r>
          </w:p>
        </w:tc>
        <w:tc>
          <w:tcPr>
            <w:tcW w:w="9065" w:type="dxa"/>
            <w:gridSpan w:val="2"/>
            <w:tcBorders/>
            <w:shd w:fill="auto" w:val="clear"/>
          </w:tcPr>
          <w:p>
            <w:pPr>
              <w:pStyle w:val="Normal"/>
              <w:spacing w:lineRule="auto" w:line="240" w:before="0" w:after="0"/>
              <w:jc w:val="both"/>
              <w:rPr>
                <w:rFonts w:eastAsia="Times New Roman" w:cs="Arial"/>
                <w:lang w:eastAsia="en-GB"/>
              </w:rPr>
            </w:pPr>
            <w:r>
              <w:rPr>
                <w:rFonts w:eastAsia="Times New Roman" w:cs="Arial"/>
                <w:lang w:eastAsia="en-GB"/>
              </w:rPr>
              <w:t xml:space="preserve">Liaise with stakeholders and colleagues from across the Council to determine a prioritised schedule of work to meet requirements, ensuring alignment with Corporate and Transformation priorities. </w:t>
            </w:r>
          </w:p>
        </w:tc>
      </w:tr>
      <w:tr>
        <w:trPr>
          <w:trHeight w:val="1123" w:hRule="atLeast"/>
        </w:trPr>
        <w:tc>
          <w:tcPr>
            <w:tcW w:w="562" w:type="dxa"/>
            <w:tcBorders/>
            <w:shd w:fill="auto" w:val="clear"/>
          </w:tcPr>
          <w:p>
            <w:pPr>
              <w:pStyle w:val="Normal"/>
              <w:spacing w:lineRule="auto" w:line="240" w:before="0" w:after="0"/>
              <w:rPr>
                <w:rFonts w:cs="Arial"/>
                <w:b/>
                <w:b/>
              </w:rPr>
            </w:pPr>
            <w:r>
              <w:rPr>
                <w:rFonts w:cs="Arial"/>
                <w:b/>
              </w:rPr>
              <w:t>3</w:t>
            </w:r>
          </w:p>
        </w:tc>
        <w:tc>
          <w:tcPr>
            <w:tcW w:w="9065" w:type="dxa"/>
            <w:gridSpan w:val="2"/>
            <w:tcBorders/>
            <w:shd w:fill="auto" w:val="clear"/>
          </w:tcPr>
          <w:p>
            <w:pPr>
              <w:pStyle w:val="Normal"/>
              <w:spacing w:lineRule="auto" w:line="240" w:before="0" w:after="0"/>
              <w:jc w:val="both"/>
              <w:rPr>
                <w:rFonts w:eastAsia="Times New Roman" w:cs="Arial"/>
                <w:lang w:eastAsia="en-GB"/>
              </w:rPr>
            </w:pPr>
            <w:r>
              <w:rPr>
                <w:rFonts w:eastAsia="Times New Roman" w:cs="Arial"/>
                <w:lang w:eastAsia="en-GB"/>
              </w:rPr>
              <w:t>Ensure that all programme requirements are identified and suitable implementation arrangements deployed (both internally in the Council and externally) to deliver projects within the schedule.  Manage all project processes and artefacts, being based on a sound structured methodology.</w:t>
            </w:r>
          </w:p>
        </w:tc>
      </w:tr>
      <w:tr>
        <w:trPr>
          <w:trHeight w:val="686" w:hRule="atLeast"/>
        </w:trPr>
        <w:tc>
          <w:tcPr>
            <w:tcW w:w="562" w:type="dxa"/>
            <w:tcBorders/>
            <w:shd w:fill="auto" w:val="clear"/>
          </w:tcPr>
          <w:p>
            <w:pPr>
              <w:pStyle w:val="Normal"/>
              <w:spacing w:lineRule="auto" w:line="240" w:before="0" w:after="0"/>
              <w:rPr>
                <w:rFonts w:cs="Arial"/>
                <w:b/>
                <w:b/>
              </w:rPr>
            </w:pPr>
            <w:r>
              <w:rPr>
                <w:rFonts w:cs="Arial"/>
                <w:b/>
              </w:rPr>
              <w:t>4</w:t>
            </w:r>
          </w:p>
        </w:tc>
        <w:tc>
          <w:tcPr>
            <w:tcW w:w="9065" w:type="dxa"/>
            <w:gridSpan w:val="2"/>
            <w:tcBorders/>
            <w:shd w:fill="auto" w:val="clear"/>
          </w:tcPr>
          <w:p>
            <w:pPr>
              <w:pStyle w:val="Normal"/>
              <w:spacing w:lineRule="auto" w:line="240" w:before="0" w:after="0"/>
              <w:jc w:val="both"/>
              <w:rPr>
                <w:rFonts w:eastAsia="Times New Roman" w:cs="Arial"/>
                <w:lang w:eastAsia="en-GB"/>
              </w:rPr>
            </w:pPr>
            <w:r>
              <w:rPr>
                <w:rFonts w:eastAsia="Times New Roman" w:cs="Arial"/>
                <w:lang w:eastAsia="en-GB"/>
              </w:rPr>
              <w:t>Provide matrix management to the programme team, comprising members of other service and functional representatives.</w:t>
            </w:r>
          </w:p>
        </w:tc>
      </w:tr>
      <w:tr>
        <w:trPr>
          <w:trHeight w:val="709" w:hRule="atLeast"/>
        </w:trPr>
        <w:tc>
          <w:tcPr>
            <w:tcW w:w="562" w:type="dxa"/>
            <w:tcBorders/>
            <w:shd w:fill="auto" w:val="clear"/>
          </w:tcPr>
          <w:p>
            <w:pPr>
              <w:pStyle w:val="Normal"/>
              <w:spacing w:lineRule="auto" w:line="240" w:before="0" w:after="0"/>
              <w:rPr>
                <w:rFonts w:cs="Arial"/>
                <w:b/>
                <w:b/>
              </w:rPr>
            </w:pPr>
            <w:r>
              <w:rPr>
                <w:rFonts w:cs="Arial"/>
                <w:b/>
              </w:rPr>
              <w:t>5</w:t>
            </w:r>
          </w:p>
        </w:tc>
        <w:tc>
          <w:tcPr>
            <w:tcW w:w="9065" w:type="dxa"/>
            <w:gridSpan w:val="2"/>
            <w:tcBorders/>
            <w:shd w:fill="auto" w:val="clear"/>
          </w:tcPr>
          <w:p>
            <w:pPr>
              <w:pStyle w:val="Normal"/>
              <w:spacing w:lineRule="auto" w:line="240" w:before="0" w:after="0"/>
              <w:jc w:val="both"/>
              <w:rPr>
                <w:rFonts w:eastAsia="Times New Roman" w:cs="Arial"/>
                <w:lang w:eastAsia="en-GB"/>
              </w:rPr>
            </w:pPr>
            <w:r>
              <w:rPr>
                <w:rFonts w:eastAsia="Times New Roman" w:cs="Arial"/>
                <w:lang w:eastAsia="en-GB"/>
              </w:rPr>
              <w:t xml:space="preserve">Be a central catalyst to ensuring appropriate programme scope is incorporated and revised as necessary, reflecting requirements and priorities from across the Council.  </w:t>
            </w:r>
          </w:p>
        </w:tc>
      </w:tr>
      <w:tr>
        <w:trPr>
          <w:trHeight w:val="506" w:hRule="atLeast"/>
        </w:trPr>
        <w:tc>
          <w:tcPr>
            <w:tcW w:w="562" w:type="dxa"/>
            <w:tcBorders/>
            <w:shd w:fill="auto" w:val="clear"/>
          </w:tcPr>
          <w:p>
            <w:pPr>
              <w:pStyle w:val="Normal"/>
              <w:spacing w:lineRule="auto" w:line="240" w:before="0" w:after="0"/>
              <w:rPr>
                <w:rFonts w:cs="Arial"/>
                <w:b/>
                <w:b/>
              </w:rPr>
            </w:pPr>
            <w:r>
              <w:rPr>
                <w:rFonts w:cs="Arial"/>
                <w:b/>
              </w:rPr>
              <w:t>6</w:t>
            </w:r>
          </w:p>
        </w:tc>
        <w:tc>
          <w:tcPr>
            <w:tcW w:w="9065" w:type="dxa"/>
            <w:gridSpan w:val="2"/>
            <w:tcBorders/>
            <w:shd w:fill="auto" w:val="clear"/>
          </w:tcPr>
          <w:p>
            <w:pPr>
              <w:pStyle w:val="Normal"/>
              <w:spacing w:lineRule="auto" w:line="240" w:before="0" w:after="0"/>
              <w:jc w:val="both"/>
              <w:rPr>
                <w:rFonts w:eastAsia="Times New Roman" w:cs="Arial"/>
                <w:lang w:eastAsia="en-GB"/>
              </w:rPr>
            </w:pPr>
            <w:r>
              <w:rPr>
                <w:rFonts w:eastAsia="Times New Roman" w:cs="Arial"/>
                <w:lang w:eastAsia="en-GB"/>
              </w:rPr>
              <w:t>Provide relevant programme performance information and reporting.</w:t>
            </w:r>
          </w:p>
        </w:tc>
      </w:tr>
      <w:tr>
        <w:trPr>
          <w:trHeight w:val="613" w:hRule="atLeast"/>
        </w:trPr>
        <w:tc>
          <w:tcPr>
            <w:tcW w:w="562" w:type="dxa"/>
            <w:tcBorders/>
            <w:shd w:fill="auto" w:val="clear"/>
          </w:tcPr>
          <w:p>
            <w:pPr>
              <w:pStyle w:val="Normal"/>
              <w:spacing w:lineRule="auto" w:line="240" w:before="0" w:after="0"/>
              <w:rPr>
                <w:rFonts w:cs="Arial"/>
                <w:b/>
                <w:b/>
              </w:rPr>
            </w:pPr>
            <w:r>
              <w:rPr>
                <w:rFonts w:cs="Arial"/>
                <w:b/>
              </w:rPr>
              <w:t>7</w:t>
            </w:r>
          </w:p>
        </w:tc>
        <w:tc>
          <w:tcPr>
            <w:tcW w:w="9065" w:type="dxa"/>
            <w:gridSpan w:val="2"/>
            <w:tcBorders/>
            <w:shd w:fill="auto" w:val="clear"/>
          </w:tcPr>
          <w:p>
            <w:pPr>
              <w:pStyle w:val="Normal"/>
              <w:spacing w:lineRule="auto" w:line="240" w:before="0" w:after="160"/>
              <w:contextualSpacing/>
              <w:jc w:val="both"/>
              <w:rPr>
                <w:rFonts w:eastAsia="Times New Roman" w:cs="Arial"/>
                <w:lang w:eastAsia="en-GB"/>
              </w:rPr>
            </w:pPr>
            <w:r>
              <w:rPr>
                <w:rFonts w:eastAsia="Times New Roman" w:cs="Arial"/>
                <w:lang w:eastAsia="en-GB"/>
              </w:rPr>
              <w:t>Provide advice and guidance to Members, Directors and Senior Management on all programme aspects.</w:t>
            </w:r>
          </w:p>
        </w:tc>
      </w:tr>
      <w:tr>
        <w:trPr>
          <w:trHeight w:val="693" w:hRule="atLeast"/>
        </w:trPr>
        <w:tc>
          <w:tcPr>
            <w:tcW w:w="562" w:type="dxa"/>
            <w:tcBorders/>
            <w:shd w:fill="auto" w:val="clear"/>
          </w:tcPr>
          <w:p>
            <w:pPr>
              <w:pStyle w:val="Normal"/>
              <w:spacing w:lineRule="auto" w:line="240" w:before="0" w:after="0"/>
              <w:rPr>
                <w:rFonts w:cs="Arial"/>
                <w:b/>
                <w:b/>
              </w:rPr>
            </w:pPr>
            <w:r>
              <w:rPr>
                <w:rFonts w:cs="Arial"/>
                <w:b/>
              </w:rPr>
              <w:t>8</w:t>
            </w:r>
          </w:p>
        </w:tc>
        <w:tc>
          <w:tcPr>
            <w:tcW w:w="9065" w:type="dxa"/>
            <w:gridSpan w:val="2"/>
            <w:tcBorders/>
            <w:shd w:fill="auto" w:val="clear"/>
          </w:tcPr>
          <w:p>
            <w:pPr>
              <w:pStyle w:val="Normal"/>
              <w:spacing w:lineRule="auto" w:line="240" w:before="0" w:after="160"/>
              <w:contextualSpacing/>
              <w:jc w:val="both"/>
              <w:rPr>
                <w:rFonts w:eastAsia="Times New Roman" w:cs="Arial"/>
                <w:lang w:eastAsia="en-GB"/>
              </w:rPr>
            </w:pPr>
            <w:r>
              <w:rPr>
                <w:rFonts w:eastAsia="Times New Roman" w:cs="Arial"/>
                <w:lang w:eastAsia="en-GB"/>
              </w:rPr>
              <w:t>Support the Head of Transformation and programme team to deliver work within agreed timeframes, negotiating and creating best value for money.</w:t>
            </w:r>
          </w:p>
        </w:tc>
      </w:tr>
      <w:tr>
        <w:trPr>
          <w:trHeight w:val="506" w:hRule="atLeast"/>
        </w:trPr>
        <w:tc>
          <w:tcPr>
            <w:tcW w:w="562" w:type="dxa"/>
            <w:tcBorders/>
            <w:shd w:fill="auto" w:val="clear"/>
          </w:tcPr>
          <w:p>
            <w:pPr>
              <w:pStyle w:val="Normal"/>
              <w:spacing w:lineRule="auto" w:line="240" w:before="0" w:after="0"/>
              <w:rPr>
                <w:rFonts w:cs="Arial"/>
                <w:b/>
                <w:b/>
              </w:rPr>
            </w:pPr>
            <w:r>
              <w:rPr>
                <w:rFonts w:cs="Arial"/>
                <w:b/>
              </w:rPr>
              <w:t>9</w:t>
            </w:r>
          </w:p>
        </w:tc>
        <w:tc>
          <w:tcPr>
            <w:tcW w:w="9065" w:type="dxa"/>
            <w:gridSpan w:val="2"/>
            <w:tcBorders/>
            <w:shd w:fill="auto" w:val="clear"/>
          </w:tcPr>
          <w:p>
            <w:pPr>
              <w:pStyle w:val="Normal"/>
              <w:spacing w:lineRule="auto" w:line="240" w:before="0" w:after="160"/>
              <w:contextualSpacing/>
              <w:jc w:val="both"/>
              <w:rPr>
                <w:rFonts w:eastAsia="Times New Roman" w:cs="Arial"/>
                <w:lang w:eastAsia="en-GB"/>
              </w:rPr>
            </w:pPr>
            <w:r>
              <w:rPr>
                <w:rFonts w:eastAsia="Times New Roman" w:cs="Arial"/>
                <w:lang w:eastAsia="en-GB"/>
              </w:rPr>
              <w:t>Develop and manage contingency plans within the programme.  Always incorporate a customer perspective to ensure continuity of service and value for staff, members, and the ability for the Council to deliver service effectively and efficiently to residents and businesses across the borough.</w:t>
            </w:r>
          </w:p>
          <w:p>
            <w:pPr>
              <w:pStyle w:val="Normal"/>
              <w:spacing w:lineRule="auto" w:line="240" w:before="0" w:after="160"/>
              <w:contextualSpacing/>
              <w:jc w:val="both"/>
              <w:rPr>
                <w:rFonts w:eastAsia="Times New Roman" w:cs="Arial"/>
                <w:lang w:eastAsia="en-GB"/>
              </w:rPr>
            </w:pPr>
            <w:r>
              <w:rPr>
                <w:rFonts w:eastAsia="Times New Roman" w:cs="Arial"/>
                <w:lang w:eastAsia="en-GB"/>
              </w:rPr>
            </w:r>
          </w:p>
        </w:tc>
      </w:tr>
      <w:tr>
        <w:trPr>
          <w:trHeight w:val="506" w:hRule="atLeast"/>
        </w:trPr>
        <w:tc>
          <w:tcPr>
            <w:tcW w:w="562" w:type="dxa"/>
            <w:tcBorders/>
            <w:shd w:fill="auto" w:val="clear"/>
          </w:tcPr>
          <w:p>
            <w:pPr>
              <w:pStyle w:val="Normal"/>
              <w:spacing w:lineRule="auto" w:line="240" w:before="0" w:after="0"/>
              <w:rPr>
                <w:rFonts w:cs="Arial"/>
                <w:b/>
                <w:b/>
              </w:rPr>
            </w:pPr>
            <w:r>
              <w:rPr>
                <w:rFonts w:cs="Arial"/>
                <w:b/>
              </w:rPr>
              <w:t>10</w:t>
            </w:r>
          </w:p>
        </w:tc>
        <w:tc>
          <w:tcPr>
            <w:tcW w:w="9065" w:type="dxa"/>
            <w:gridSpan w:val="2"/>
            <w:tcBorders/>
            <w:shd w:fill="auto" w:val="clear"/>
          </w:tcPr>
          <w:p>
            <w:pPr>
              <w:pStyle w:val="Normal"/>
              <w:spacing w:lineRule="auto" w:line="240" w:before="0" w:after="160"/>
              <w:contextualSpacing/>
              <w:jc w:val="both"/>
              <w:rPr>
                <w:rFonts w:eastAsia="Times New Roman" w:cs="Arial"/>
                <w:lang w:eastAsia="en-GB"/>
              </w:rPr>
            </w:pPr>
            <w:r>
              <w:rPr>
                <w:rFonts w:eastAsia="Times New Roman" w:cs="Arial"/>
                <w:lang w:eastAsia="en-GB"/>
              </w:rPr>
              <w:t xml:space="preserve">Manage programme financials and controls. </w:t>
            </w:r>
          </w:p>
        </w:tc>
      </w:tr>
      <w:tr>
        <w:trPr/>
        <w:tc>
          <w:tcPr>
            <w:tcW w:w="4566" w:type="dxa"/>
            <w:gridSpan w:val="2"/>
            <w:tcBorders/>
            <w:shd w:fill="auto" w:val="clear"/>
          </w:tcPr>
          <w:p>
            <w:pPr>
              <w:pStyle w:val="Normal"/>
              <w:spacing w:lineRule="auto" w:line="240" w:before="0" w:after="0"/>
              <w:rPr>
                <w:rFonts w:cs="Arial"/>
                <w:b/>
                <w:b/>
              </w:rPr>
            </w:pPr>
            <w:r>
              <w:rPr>
                <w:rFonts w:cs="Arial"/>
                <w:b/>
              </w:rPr>
              <w:t>Date Job Description updated:</w:t>
            </w:r>
          </w:p>
        </w:tc>
        <w:tc>
          <w:tcPr>
            <w:tcW w:w="5061" w:type="dxa"/>
            <w:tcBorders/>
            <w:shd w:fill="auto" w:val="clear"/>
          </w:tcPr>
          <w:p>
            <w:pPr>
              <w:pStyle w:val="Normal"/>
              <w:spacing w:lineRule="auto" w:line="240" w:before="0" w:after="0"/>
              <w:rPr>
                <w:rFonts w:cs="Arial"/>
                <w:b/>
                <w:b/>
              </w:rPr>
            </w:pPr>
            <w:r>
              <w:rPr>
                <w:rFonts w:cs="Arial"/>
                <w:b/>
              </w:rPr>
              <w:t>July 2025</w:t>
            </w:r>
          </w:p>
        </w:tc>
      </w:tr>
      <w:tr>
        <w:trPr/>
        <w:tc>
          <w:tcPr>
            <w:tcW w:w="4566" w:type="dxa"/>
            <w:gridSpan w:val="2"/>
            <w:tcBorders/>
            <w:shd w:fill="auto" w:val="clear"/>
          </w:tcPr>
          <w:p>
            <w:pPr>
              <w:pStyle w:val="Normal"/>
              <w:spacing w:lineRule="auto" w:line="240" w:before="0" w:after="0"/>
              <w:rPr>
                <w:rFonts w:cs="Arial"/>
                <w:b/>
                <w:b/>
              </w:rPr>
            </w:pPr>
            <w:r>
              <w:rPr>
                <w:rFonts w:cs="Arial"/>
                <w:b/>
              </w:rPr>
              <w:t>Job Description prepared by:</w:t>
            </w:r>
          </w:p>
        </w:tc>
        <w:tc>
          <w:tcPr>
            <w:tcW w:w="5061" w:type="dxa"/>
            <w:tcBorders/>
            <w:shd w:fill="auto" w:val="clear"/>
          </w:tcPr>
          <w:p>
            <w:pPr>
              <w:pStyle w:val="Normal"/>
              <w:spacing w:lineRule="auto" w:line="240" w:before="0" w:after="0"/>
              <w:rPr>
                <w:rFonts w:cs="Arial"/>
                <w:b/>
                <w:b/>
                <w:bCs/>
              </w:rPr>
            </w:pPr>
            <w:r>
              <w:rPr>
                <w:rFonts w:cs="Arial"/>
                <w:b/>
                <w:bCs/>
              </w:rPr>
              <w:t>Head of Transformation</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cs="Arial"/>
                <w:b/>
                <w:b/>
              </w:rPr>
            </w:pPr>
            <w:r>
              <w:rPr>
                <w:rFonts w:cs="Arial"/>
                <w:b/>
              </w:rPr>
              <w:t>Department</w:t>
            </w:r>
          </w:p>
        </w:tc>
        <w:tc>
          <w:tcPr>
            <w:tcW w:w="8398" w:type="dxa"/>
            <w:gridSpan w:val="4"/>
            <w:tcBorders/>
            <w:shd w:fill="auto" w:val="clear"/>
          </w:tcPr>
          <w:p>
            <w:pPr>
              <w:pStyle w:val="Normal"/>
              <w:spacing w:before="60" w:after="60"/>
              <w:rPr>
                <w:rFonts w:cs="Arial"/>
                <w:b/>
                <w:b/>
                <w:caps/>
              </w:rPr>
            </w:pPr>
            <w:r>
              <w:rPr>
                <w:rFonts w:cs="Arial"/>
                <w:b/>
                <w:caps/>
              </w:rPr>
              <w:t>CORPORATE RESOURCES</w:t>
            </w:r>
          </w:p>
        </w:tc>
      </w:tr>
      <w:tr>
        <w:trPr/>
        <w:tc>
          <w:tcPr>
            <w:tcW w:w="1667" w:type="dxa"/>
            <w:gridSpan w:val="3"/>
            <w:tcBorders>
              <w:bottom w:val="single" w:sz="4" w:space="0" w:color="000000"/>
            </w:tcBorders>
            <w:shd w:fill="auto" w:val="clear"/>
          </w:tcPr>
          <w:p>
            <w:pPr>
              <w:pStyle w:val="Normal"/>
              <w:spacing w:before="60" w:after="240"/>
              <w:rPr>
                <w:rFonts w:cs="Arial"/>
                <w:b/>
                <w:b/>
              </w:rPr>
            </w:pPr>
            <w:r>
              <w:rPr>
                <w:rFonts w:cs="Arial"/>
                <w:b/>
              </w:rPr>
              <w:t>Job Title</w:t>
            </w:r>
          </w:p>
        </w:tc>
        <w:tc>
          <w:tcPr>
            <w:tcW w:w="8398" w:type="dxa"/>
            <w:gridSpan w:val="4"/>
            <w:tcBorders>
              <w:bottom w:val="single" w:sz="4" w:space="0" w:color="000000"/>
            </w:tcBorders>
            <w:shd w:fill="auto" w:val="clear"/>
          </w:tcPr>
          <w:p>
            <w:pPr>
              <w:pStyle w:val="Normal"/>
              <w:spacing w:before="60" w:after="60"/>
              <w:rPr>
                <w:rFonts w:cs="Arial"/>
                <w:b/>
                <w:b/>
                <w:caps/>
              </w:rPr>
            </w:pPr>
            <w:r>
              <w:rPr>
                <w:rFonts w:cs="Arial"/>
                <w:b/>
                <w:caps/>
              </w:rPr>
              <w:t>Programme MANAGER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cs="Arial"/>
                <w:b/>
                <w:b/>
              </w:rPr>
            </w:pPr>
            <w:r>
              <w:rPr>
                <w:rFonts w:cs="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bCs/>
              </w:rPr>
              <w:t xml:space="preserve">Candidates who are care leavers, have a disability, are ex-armed forces or are a carer (see </w:t>
            </w:r>
            <w:r>
              <w:rPr>
                <w:rStyle w:val="InternetLink"/>
              </w:rPr>
              <w:t>Carers-Charter-FINAL.pdf (gmhsc.org.uk)</w:t>
            </w:r>
            <w:r>
              <w:rPr/>
              <w:t xml:space="preserve"> </w:t>
            </w:r>
            <w:r>
              <w:rPr>
                <w:rFonts w:cs="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cs="Arial"/>
                <w:b/>
                <w:b/>
                <w:color w:val="FFFFFF"/>
              </w:rPr>
            </w:pPr>
            <w:r>
              <w:rPr>
                <w:rFonts w:cs="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cs="Arial"/>
                <w:b/>
                <w:b/>
                <w:color w:val="FFFFFF"/>
              </w:rPr>
            </w:pPr>
            <w:r>
              <w:rPr>
                <w:rFonts w:cs="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cs="Arial"/>
                <w:b/>
                <w:b/>
              </w:rPr>
            </w:pPr>
            <w:r>
              <w:rPr>
                <w:rFonts w:cs="Arial"/>
                <w:b/>
              </w:rPr>
              <w:t>1.</w:t>
            </w:r>
          </w:p>
        </w:tc>
        <w:tc>
          <w:tcPr>
            <w:tcW w:w="9400" w:type="dxa"/>
            <w:gridSpan w:val="6"/>
            <w:tcBorders>
              <w:bottom w:val="single" w:sz="4" w:space="0" w:color="000000"/>
              <w:right w:val="single" w:sz="4" w:space="0" w:color="000000"/>
            </w:tcBorders>
            <w:shd w:fill="D9D9D9" w:val="clear"/>
          </w:tcPr>
          <w:p>
            <w:pPr>
              <w:pStyle w:val="Normal"/>
              <w:spacing w:before="60" w:after="60"/>
              <w:rPr>
                <w:rFonts w:cs="Arial"/>
                <w:b/>
                <w:b/>
              </w:rPr>
            </w:pPr>
            <w:r>
              <w:rPr>
                <w:rFonts w:cs="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cs="Arial"/>
              </w:rPr>
            </w:pPr>
            <w:r>
              <w:rPr>
                <w:rFonts w:cs="Arial"/>
              </w:rPr>
              <w:t>Demonstrated experience of project development &amp; scheduling.</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cs="Arial"/>
              </w:rPr>
            </w:pPr>
            <w:r>
              <w:rPr>
                <w:rFonts w:cs="Arial"/>
              </w:rPr>
              <w:t>Demonstrated high level standards of organisational skills, to ensure that a range of projects can be co-ordinated, so that programmes of work are effectively managed.</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cs="Arial"/>
              </w:rPr>
            </w:pPr>
            <w:r>
              <w:rPr>
                <w:rFonts w:cs="Arial"/>
              </w:rPr>
              <w:t>Demonstrated high levels of interpersonal and communication skills and understanding of why this is important in this role.</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Form/Interview/Presentation</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cs="Arial"/>
              </w:rPr>
            </w:pPr>
            <w:r>
              <w:rPr>
                <w:rFonts w:cs="Arial"/>
              </w:rPr>
              <w:t>4.</w:t>
            </w:r>
          </w:p>
        </w:tc>
        <w:tc>
          <w:tcPr>
            <w:tcW w:w="5811" w:type="dxa"/>
            <w:gridSpan w:val="5"/>
            <w:tcBorders>
              <w:bottom w:val="single" w:sz="4" w:space="0" w:color="000000"/>
            </w:tcBorders>
            <w:shd w:fill="auto" w:val="clear"/>
          </w:tcPr>
          <w:p>
            <w:pPr>
              <w:pStyle w:val="Normal"/>
              <w:spacing w:before="120" w:after="120"/>
              <w:ind w:left="0" w:right="175" w:hanging="0"/>
              <w:jc w:val="both"/>
              <w:rPr>
                <w:rFonts w:cs="Arial"/>
              </w:rPr>
            </w:pPr>
            <w:r>
              <w:rPr>
                <w:rFonts w:cs="Arial"/>
              </w:rPr>
              <w:t>Evidence of proactive and creative approach to problem solving.</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Form/Interview/Presentation</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cs="Arial"/>
              </w:rPr>
            </w:pPr>
            <w:r>
              <w:rPr>
                <w:rFonts w:cs="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rFonts w:cs="Arial"/>
              </w:rPr>
            </w:pPr>
            <w:r>
              <w:rPr>
                <w:rFonts w:cs="Arial"/>
              </w:rPr>
              <w:t>Ability to provide expert advice and guidance in relation to a range of project matters and outsourcing factors.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Form/Interview/Presentation</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cs="Arial"/>
              </w:rPr>
            </w:pPr>
            <w:r>
              <w:rPr>
                <w:rFonts w:cs="Arial"/>
              </w:rPr>
              <w:t>6.</w:t>
            </w:r>
          </w:p>
        </w:tc>
        <w:tc>
          <w:tcPr>
            <w:tcW w:w="5811" w:type="dxa"/>
            <w:gridSpan w:val="5"/>
            <w:tcBorders>
              <w:bottom w:val="single" w:sz="4" w:space="0" w:color="000000"/>
            </w:tcBorders>
            <w:shd w:fill="auto" w:val="clear"/>
          </w:tcPr>
          <w:p>
            <w:pPr>
              <w:pStyle w:val="Normal"/>
              <w:spacing w:before="120" w:after="120"/>
              <w:ind w:left="0" w:right="175" w:hanging="0"/>
              <w:jc w:val="both"/>
              <w:rPr>
                <w:rFonts w:cs="Arial"/>
              </w:rPr>
            </w:pPr>
            <w:r>
              <w:rPr>
                <w:rFonts w:cs="Arial"/>
              </w:rPr>
              <w:t>Demonstrated knowledge of a relevant structured project management methodology.</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Form/Interview/Presentation</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cs="Arial"/>
              </w:rPr>
            </w:pPr>
            <w:r>
              <w:rPr>
                <w:rFonts w:cs="Arial"/>
              </w:rPr>
              <w:t>7.</w:t>
            </w:r>
          </w:p>
        </w:tc>
        <w:tc>
          <w:tcPr>
            <w:tcW w:w="5811" w:type="dxa"/>
            <w:gridSpan w:val="5"/>
            <w:tcBorders>
              <w:bottom w:val="single" w:sz="4" w:space="0" w:color="000000"/>
            </w:tcBorders>
            <w:shd w:fill="auto" w:val="clear"/>
          </w:tcPr>
          <w:p>
            <w:pPr>
              <w:pStyle w:val="Normal"/>
              <w:spacing w:before="120" w:after="120"/>
              <w:ind w:left="0" w:right="175" w:hanging="0"/>
              <w:jc w:val="both"/>
              <w:rPr>
                <w:rFonts w:cs="Arial"/>
              </w:rPr>
            </w:pPr>
            <w:r>
              <w:rPr>
                <w:rFonts w:cs="Arial"/>
              </w:rPr>
              <w:t>Knowledge of appropriate planning and control tools, to collect data &amp; intelligence and produce forecasts.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Form/Interview</w:t>
            </w:r>
          </w:p>
        </w:tc>
      </w:tr>
      <w:tr>
        <w:trPr>
          <w:cantSplit w:val="true"/>
        </w:trPr>
        <w:tc>
          <w:tcPr>
            <w:tcW w:w="675" w:type="dxa"/>
            <w:tcBorders>
              <w:left w:val="single" w:sz="4" w:space="0" w:color="000000"/>
            </w:tcBorders>
            <w:shd w:fill="auto" w:val="clear"/>
          </w:tcPr>
          <w:p>
            <w:pPr>
              <w:pStyle w:val="Normal"/>
              <w:spacing w:before="120" w:after="120"/>
              <w:rPr>
                <w:rFonts w:cs="Arial"/>
              </w:rPr>
            </w:pPr>
            <w:r>
              <w:rPr>
                <w:rFonts w:cs="Arial"/>
              </w:rPr>
              <w:t>8.</w:t>
            </w:r>
          </w:p>
        </w:tc>
        <w:tc>
          <w:tcPr>
            <w:tcW w:w="5811" w:type="dxa"/>
            <w:gridSpan w:val="5"/>
            <w:tcBorders/>
            <w:shd w:fill="auto" w:val="clear"/>
          </w:tcPr>
          <w:p>
            <w:pPr>
              <w:pStyle w:val="Normal"/>
              <w:spacing w:before="120" w:after="120"/>
              <w:ind w:left="0" w:right="175" w:hanging="0"/>
              <w:jc w:val="both"/>
              <w:rPr/>
            </w:pPr>
            <w:r>
              <w:rPr>
                <w:rFonts w:cs="Arial"/>
                <w:b/>
                <w:bCs/>
              </w:rPr>
              <w:t>Competencies</w:t>
            </w:r>
            <w:r>
              <w:rPr>
                <w:rFonts w:cs="Arial"/>
              </w:rPr>
              <w:t xml:space="preserve"> – Please note the Council’s corporate competencies, which are essential for all roles, are below in the Core Competencies section. </w:t>
            </w:r>
          </w:p>
          <w:p>
            <w:pPr>
              <w:pStyle w:val="Normal"/>
              <w:spacing w:before="120" w:after="120"/>
              <w:ind w:left="0" w:right="175" w:hanging="0"/>
              <w:jc w:val="both"/>
              <w:rPr>
                <w:rFonts w:cs="Arial"/>
              </w:rPr>
            </w:pPr>
            <w:r>
              <w:rPr>
                <w:rFonts w:cs="Arial"/>
              </w:rPr>
            </w:r>
          </w:p>
          <w:p>
            <w:pPr>
              <w:pStyle w:val="Normal"/>
              <w:spacing w:before="120" w:after="120"/>
              <w:ind w:left="0" w:right="175" w:hanging="0"/>
              <w:jc w:val="both"/>
              <w:rPr>
                <w:rFonts w:cs="Arial"/>
              </w:rPr>
            </w:pPr>
            <w:r>
              <w:rPr>
                <w:rFonts w:cs="Arial"/>
              </w:rPr>
            </w:r>
          </w:p>
          <w:p>
            <w:pPr>
              <w:pStyle w:val="Normal"/>
              <w:spacing w:before="120" w:after="120"/>
              <w:ind w:left="0" w:right="175" w:hanging="0"/>
              <w:jc w:val="both"/>
              <w:rPr>
                <w:rFonts w:cs="Arial"/>
              </w:rPr>
            </w:pPr>
            <w:r>
              <w:rPr>
                <w:rFonts w:cs="Arial"/>
              </w:rPr>
            </w:r>
          </w:p>
          <w:p>
            <w:pPr>
              <w:pStyle w:val="Normal"/>
              <w:spacing w:before="120" w:after="120"/>
              <w:ind w:left="0" w:right="175" w:hanging="0"/>
              <w:jc w:val="both"/>
              <w:rPr>
                <w:rFonts w:cs="Arial"/>
              </w:rPr>
            </w:pPr>
            <w:r>
              <w:rPr>
                <w:rFonts w:cs="Arial"/>
              </w:rPr>
            </w:r>
          </w:p>
          <w:p>
            <w:pPr>
              <w:pStyle w:val="Normal"/>
              <w:spacing w:before="120" w:after="120"/>
              <w:ind w:left="0" w:right="175" w:hanging="0"/>
              <w:jc w:val="both"/>
              <w:rPr>
                <w:rFonts w:cs="Arial"/>
              </w:rPr>
            </w:pPr>
            <w:r>
              <w:rPr>
                <w:rFonts w:cs="Arial"/>
              </w:rPr>
            </w:r>
          </w:p>
          <w:p>
            <w:pPr>
              <w:pStyle w:val="Normal"/>
              <w:spacing w:before="120" w:after="120"/>
              <w:ind w:left="0" w:right="175" w:hanging="0"/>
              <w:jc w:val="both"/>
              <w:rPr>
                <w:rFonts w:cs="Arial"/>
              </w:rPr>
            </w:pPr>
            <w:r>
              <w:rPr>
                <w:rFonts w:cs="Arial"/>
              </w:rPr>
            </w:r>
          </w:p>
          <w:p>
            <w:pPr>
              <w:pStyle w:val="Normal"/>
              <w:spacing w:before="120" w:after="120"/>
              <w:ind w:left="0" w:right="175" w:hanging="0"/>
              <w:jc w:val="both"/>
              <w:rPr>
                <w:rFonts w:cs="Arial"/>
              </w:rPr>
            </w:pPr>
            <w:r>
              <w:rPr>
                <w:rFonts w:cs="Arial"/>
              </w:rPr>
            </w:r>
          </w:p>
          <w:p>
            <w:pPr>
              <w:pStyle w:val="Normal"/>
              <w:spacing w:before="120" w:after="120"/>
              <w:ind w:left="0" w:right="175" w:hanging="0"/>
              <w:jc w:val="both"/>
              <w:rPr>
                <w:rFonts w:cs="Arial"/>
              </w:rPr>
            </w:pPr>
            <w:r>
              <w:rPr>
                <w:rFonts w:cs="Arial"/>
              </w:rPr>
            </w:r>
          </w:p>
        </w:tc>
        <w:tc>
          <w:tcPr>
            <w:tcW w:w="3589" w:type="dxa"/>
            <w:tcBorders>
              <w:left w:val="single" w:sz="4" w:space="0" w:color="000000"/>
              <w:right w:val="single" w:sz="4" w:space="0" w:color="000000"/>
            </w:tcBorders>
            <w:shd w:fill="auto" w:val="clear"/>
          </w:tcPr>
          <w:p>
            <w:pPr>
              <w:pStyle w:val="Normal"/>
              <w:spacing w:before="120" w:after="120"/>
              <w:rPr>
                <w:rFonts w:cs="Arial"/>
              </w:rPr>
            </w:pPr>
            <w:r>
              <w:rPr>
                <w:rFonts w:cs="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cs="Arial"/>
                <w:b/>
                <w:b/>
              </w:rPr>
            </w:pPr>
            <w:r>
              <w:rPr>
                <w:rFonts w:cs="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cs="Arial"/>
              </w:rPr>
            </w:pPr>
            <w:r>
              <w:rPr>
                <w:rFonts w:cs="Arial"/>
              </w:rPr>
              <w:t>Degree, or equivalent professional management qualification.</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cs="Arial"/>
              </w:rPr>
            </w:pPr>
            <w:r>
              <w:rPr>
                <w:rFonts w:cs="Arial"/>
              </w:rPr>
              <w:t>A change management or ITIL qualification or minimum of 5 years relevant work experience.</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cs="Arial"/>
                <w:b/>
                <w:b/>
              </w:rPr>
            </w:pPr>
            <w:r>
              <w:rPr>
                <w:rFonts w:cs="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cs="Arial"/>
              </w:rPr>
            </w:pPr>
            <w:r>
              <w:rPr>
                <w:rFonts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cs="Arial"/>
              </w:rPr>
            </w:pPr>
            <w:r>
              <w:rPr>
                <w:rFonts w:cs="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cs="Arial"/>
              </w:rPr>
            </w:pPr>
            <w:r>
              <w:rPr>
                <w:rFonts w:cs="Arial"/>
              </w:rPr>
              <w:t xml:space="preserve">This role requires the job holder to work outside of normal office hours, for example at evenings and weekends, to meet the needs of the service.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 xml:space="preserve">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cs="Arial"/>
              </w:rPr>
            </w:pPr>
            <w:r>
              <w:rPr>
                <w:rFonts w:cs="Arial"/>
              </w:rPr>
              <w:t>Must be flexible and willing to travel to meet users at various locations used by the organisation.</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cs="Arial"/>
                <w:b/>
                <w:b/>
              </w:rPr>
            </w:pPr>
            <w:r>
              <w:rPr>
                <w:rFonts w:cs="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cs="Arial"/>
              </w:rPr>
            </w:pPr>
            <w:r>
              <w:rPr>
                <w:rFonts w:cs="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rPr>
                <w:rFonts w:cs="Arial"/>
                <w:b/>
                <w:b/>
                <w:color w:val="FFFFFF"/>
              </w:rPr>
            </w:pPr>
            <w:r>
              <w:rPr>
                <w:rFonts w:cs="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rPr>
                <w:rFonts w:cs="Arial"/>
                <w:b/>
                <w:b/>
                <w:color w:val="FFFFFF"/>
              </w:rPr>
            </w:pPr>
            <w:r>
              <w:rPr>
                <w:rFonts w:cs="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cs="Arial"/>
                <w:b/>
                <w:b/>
              </w:rPr>
            </w:pPr>
            <w:r>
              <w:rPr>
                <w:rFonts w:cs="Arial"/>
                <w:b/>
              </w:rPr>
              <w:t>1.</w:t>
              <w:tab/>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1.</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cs="Arial"/>
              </w:rPr>
            </w:pPr>
            <w:r>
              <w:rPr>
                <w:rFonts w:cs="Arial"/>
              </w:rPr>
              <w:t>Knowledge of Local Authority culture, procedures and systems including the political environment</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cs="Arial"/>
                <w:b/>
                <w:b/>
              </w:rPr>
            </w:pPr>
            <w:r>
              <w:rPr>
                <w:rFonts w:cs="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1.</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cs="Arial"/>
              </w:rPr>
            </w:pPr>
            <w:r>
              <w:rPr>
                <w:rFonts w:cs="Arial"/>
              </w:rPr>
              <w:t>PRINCE Project Management Methodology experience or other structured project methodology</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cs="Arial"/>
              </w:rPr>
            </w:pPr>
            <w:r>
              <w:rPr>
                <w:rFonts w:cs="Arial"/>
              </w:rPr>
              <w:t>2.</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cs="Arial"/>
              </w:rPr>
            </w:pPr>
            <w:r>
              <w:rPr>
                <w:rFonts w:cs="Arial"/>
              </w:rPr>
              <w:t>Experience in estimating principles and techniques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cs="Arial"/>
              </w:rPr>
            </w:pPr>
            <w:r>
              <w:rPr>
                <w:rFonts w:cs="Arial"/>
              </w:rPr>
              <w:t>Application Form</w:t>
            </w:r>
          </w:p>
        </w:tc>
      </w:tr>
    </w:tbl>
    <w:p>
      <w:pPr>
        <w:pStyle w:val="Normal"/>
        <w:spacing w:lineRule="auto" w:line="240" w:before="0" w:after="0"/>
        <w:rPr>
          <w:rFonts w:cs="Arial"/>
          <w:b/>
          <w:b/>
        </w:rPr>
      </w:pPr>
      <w:r>
        <w:rPr>
          <w:rFonts w:cs="Arial"/>
          <w:b/>
        </w:rPr>
      </w:r>
    </w:p>
    <w:tbl>
      <w:tblPr>
        <w:tblW w:w="9627" w:type="dxa"/>
        <w:jc w:val="left"/>
        <w:tblInd w:w="0" w:type="dxa"/>
        <w:tblCellMar>
          <w:top w:w="0" w:type="dxa"/>
          <w:left w:w="108" w:type="dxa"/>
          <w:bottom w:w="0" w:type="dxa"/>
          <w:right w:w="108" w:type="dxa"/>
        </w:tblCellMar>
      </w:tblPr>
      <w:tblGrid>
        <w:gridCol w:w="5102"/>
        <w:gridCol w:w="4525"/>
      </w:tblGrid>
      <w:tr>
        <w:trPr/>
        <w:tc>
          <w:tcPr>
            <w:tcW w:w="5102" w:type="dxa"/>
            <w:tcBorders/>
            <w:shd w:fill="auto" w:val="clear"/>
          </w:tcPr>
          <w:p>
            <w:pPr>
              <w:pStyle w:val="Normal"/>
              <w:spacing w:lineRule="auto" w:line="240" w:before="0" w:after="0"/>
              <w:rPr>
                <w:rFonts w:cs="Arial"/>
                <w:b/>
                <w:b/>
              </w:rPr>
            </w:pPr>
            <w:r>
              <w:rPr>
                <w:rFonts w:cs="Arial"/>
                <w:b/>
              </w:rPr>
              <w:t>Date Person Specification updated:</w:t>
            </w:r>
          </w:p>
        </w:tc>
        <w:tc>
          <w:tcPr>
            <w:tcW w:w="4525" w:type="dxa"/>
            <w:tcBorders/>
            <w:shd w:fill="auto" w:val="clear"/>
          </w:tcPr>
          <w:p>
            <w:pPr>
              <w:pStyle w:val="Normal"/>
              <w:spacing w:lineRule="auto" w:line="240" w:before="0" w:after="0"/>
              <w:rPr>
                <w:rFonts w:cs="Arial"/>
                <w:b/>
                <w:b/>
              </w:rPr>
            </w:pPr>
            <w:r>
              <w:rPr>
                <w:rFonts w:cs="Arial"/>
                <w:b/>
              </w:rPr>
              <w:t>July 2025</w:t>
            </w:r>
          </w:p>
        </w:tc>
      </w:tr>
      <w:tr>
        <w:trPr/>
        <w:tc>
          <w:tcPr>
            <w:tcW w:w="5102" w:type="dxa"/>
            <w:tcBorders/>
            <w:shd w:fill="auto" w:val="clear"/>
          </w:tcPr>
          <w:p>
            <w:pPr>
              <w:pStyle w:val="Normal"/>
              <w:spacing w:lineRule="auto" w:line="240" w:before="0" w:after="0"/>
              <w:rPr>
                <w:rFonts w:cs="Arial"/>
                <w:b/>
                <w:b/>
              </w:rPr>
            </w:pPr>
            <w:r>
              <w:rPr>
                <w:rFonts w:cs="Arial"/>
                <w:b/>
              </w:rPr>
              <w:t>Person Specification prepared by:</w:t>
            </w:r>
          </w:p>
        </w:tc>
        <w:tc>
          <w:tcPr>
            <w:tcW w:w="4525" w:type="dxa"/>
            <w:tcBorders/>
            <w:shd w:fill="auto" w:val="clear"/>
          </w:tcPr>
          <w:p>
            <w:pPr>
              <w:pStyle w:val="Normal"/>
              <w:spacing w:lineRule="auto" w:line="240" w:before="0" w:after="0"/>
              <w:rPr>
                <w:rFonts w:cs="Arial"/>
                <w:b/>
                <w:b/>
                <w:bCs/>
              </w:rPr>
            </w:pPr>
            <w:r>
              <w:rPr>
                <w:rFonts w:cs="Arial"/>
                <w:b/>
                <w:bCs/>
              </w:rPr>
              <w:t>Head of Transformation</w:t>
            </w:r>
          </w:p>
        </w:tc>
      </w:tr>
    </w:tbl>
    <w:p>
      <w:pPr>
        <w:pStyle w:val="Normal"/>
        <w:spacing w:lineRule="auto" w:line="240" w:before="0" w:after="0"/>
        <w:rPr>
          <w:rFonts w:cs="Arial"/>
          <w:b/>
          <w:b/>
        </w:rPr>
      </w:pPr>
      <w:r>
        <w:rPr>
          <w:rFonts w:cs="Arial"/>
          <w:b/>
        </w:rPr>
      </w:r>
    </w:p>
    <w:p>
      <w:pPr>
        <w:pStyle w:val="Normal"/>
        <w:rPr>
          <w:rFonts w:cs="Arial"/>
          <w:b/>
          <w:b/>
        </w:rPr>
      </w:pPr>
      <w:r>
        <w:rPr>
          <w:rFonts w:cs="Arial"/>
          <w:b/>
        </w:rPr>
      </w:r>
    </w:p>
    <w:p>
      <w:pPr>
        <w:pStyle w:val="Normal"/>
        <w:spacing w:before="0" w:after="160"/>
        <w:rPr/>
      </w:pPr>
      <w:r>
        <w:rPr/>
      </w:r>
    </w:p>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ymbol">
    <w:charset w:val="02"/>
    <w:family w:val="auto"/>
    <w:pitch w:val="default"/>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cs="Arial"/>
        <w:sz w:val="21"/>
        <w:szCs w:val="21"/>
      </w:rPr>
    </w:pPr>
    <w:r>
      <w:rPr>
        <w:rFonts w:cs="Arial"/>
        <w:sz w:val="21"/>
        <w:szCs w:val="21"/>
      </w:rPr>
      <w:t xml:space="preserve">Our Values: </w:t>
    </w:r>
  </w:p>
  <w:p>
    <w:pPr>
      <w:pStyle w:val="Footer"/>
      <w:jc w:val="center"/>
      <w:rPr>
        <w:rFonts w:cs="Arial"/>
        <w:sz w:val="21"/>
        <w:szCs w:val="21"/>
      </w:rPr>
    </w:pPr>
    <w:r>
      <w:rPr>
        <w:rFonts w:cs="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cs="Arial"/>
      </w:rPr>
    </w:pPr>
    <w:r>
      <w:rPr>
        <w:rFonts w:cs="Arial"/>
      </w:rPr>
      <w:t>July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bullet"/>
      <w:lvlText w:val=""/>
      <w:lvlJc w:val="left"/>
      <w:pPr>
        <w:ind w:left="2520" w:hanging="360"/>
      </w:pPr>
      <w:rPr>
        <w:rFonts w:ascii="Symbol" w:hAnsi="Symbol" w:cs="Symbol" w:hint="default"/>
        <w:rFonts w:cs="Symbol"/>
      </w:r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2"/>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rial" w:hAnsi="Arial" w:eastAsia="Calibri" w:cs="Arial"/>
      <w:color w:val="000000"/>
      <w:kern w:val="0"/>
      <w:sz w:val="22"/>
      <w:szCs w:val="22"/>
      <w:lang w:val="en-GB" w:eastAsia="en-US" w:bidi="ar-SA"/>
    </w:rPr>
  </w:style>
  <w:style w:type="paragraph" w:styleId="Heading1">
    <w:name w:val="Heading 1"/>
    <w:basedOn w:val="Normal"/>
    <w:next w:val="Normal"/>
    <w:qFormat/>
    <w:pPr>
      <w:keepNext w:val="true"/>
      <w:keepLines/>
      <w:spacing w:before="240" w:after="0"/>
      <w:outlineLvl w:val="0"/>
    </w:pPr>
    <w:rPr>
      <w:rFonts w:eastAsia="游ゴシック Light" w:cs="Times New Roman"/>
      <w:b/>
      <w:color w:val="auto"/>
      <w:sz w:val="24"/>
      <w:szCs w:val="32"/>
    </w:rPr>
  </w:style>
  <w:style w:type="paragraph" w:styleId="Heading2">
    <w:name w:val="Heading 2"/>
    <w:basedOn w:val="Normal"/>
    <w:next w:val="Normal"/>
    <w:qFormat/>
    <w:pPr>
      <w:keepNext w:val="true"/>
      <w:keepLines/>
      <w:spacing w:before="40" w:after="0"/>
      <w:outlineLvl w:val="1"/>
    </w:pPr>
    <w:rPr>
      <w:rFonts w:eastAsia="游ゴシック Light" w:cs="Times New Roman"/>
      <w:b/>
      <w:color w:val="auto"/>
      <w:szCs w:val="26"/>
    </w:rPr>
  </w:style>
  <w:style w:type="paragraph" w:styleId="Heading3">
    <w:name w:val="Heading 3"/>
    <w:basedOn w:val="Normal"/>
    <w:next w:val="Normal"/>
    <w:qFormat/>
    <w:pPr>
      <w:keepNext w:val="true"/>
      <w:keepLines/>
      <w:spacing w:before="40" w:after="0"/>
      <w:outlineLvl w:val="2"/>
    </w:pPr>
    <w:rPr>
      <w:rFonts w:eastAsia="游ゴシック Light" w:cs="Times New Roman"/>
      <w:szCs w:val="24"/>
    </w:rPr>
  </w:style>
  <w:style w:type="paragraph" w:styleId="Heading4">
    <w:name w:val="Heading 4"/>
    <w:basedOn w:val="Normal"/>
    <w:next w:val="Normal"/>
    <w:qFormat/>
    <w:pPr>
      <w:keepNext w:val="true"/>
      <w:keepLines/>
      <w:numPr>
        <w:ilvl w:val="3"/>
        <w:numId w:val="1"/>
      </w:numPr>
      <w:spacing w:before="40" w:after="0"/>
      <w:outlineLvl w:val="3"/>
    </w:pPr>
    <w:rPr>
      <w:rFonts w:eastAsia="游ゴシック Light" w:cs="Times New Roman"/>
      <w:iCs/>
      <w:color w:val="auto"/>
    </w:rPr>
  </w:style>
  <w:style w:type="paragraph" w:styleId="Heading5">
    <w:name w:val="Heading 5"/>
    <w:basedOn w:val="Normal"/>
    <w:next w:val="Normal"/>
    <w:qFormat/>
    <w:pPr>
      <w:keepNext w:val="true"/>
      <w:keepLines/>
      <w:spacing w:before="40" w:after="0"/>
      <w:outlineLvl w:val="4"/>
    </w:pPr>
    <w:rPr>
      <w:rFonts w:ascii="Calibri Light" w:hAnsi="Calibri Light" w:eastAsia="游ゴシック Light" w:cs="Times New Roman"/>
      <w:color w:val="2F5496"/>
    </w:rPr>
  </w:style>
  <w:style w:type="paragraph" w:styleId="Heading6">
    <w:name w:val="Heading 6"/>
    <w:basedOn w:val="Normal"/>
    <w:next w:val="Normal"/>
    <w:qFormat/>
    <w:pPr>
      <w:keepNext w:val="true"/>
      <w:keepLines/>
      <w:spacing w:before="40" w:after="0"/>
      <w:outlineLvl w:val="5"/>
    </w:pPr>
    <w:rPr>
      <w:rFonts w:ascii="Calibri Light" w:hAnsi="Calibri Light" w:eastAsia="游ゴシック Light" w:cs="Times New Roman"/>
      <w:color w:val="1F3763"/>
    </w:rPr>
  </w:style>
  <w:style w:type="paragraph" w:styleId="Heading7">
    <w:name w:val="Heading 7"/>
    <w:basedOn w:val="Normal"/>
    <w:next w:val="Normal"/>
    <w:qFormat/>
    <w:pPr>
      <w:keepNext w:val="true"/>
      <w:keepLines/>
      <w:spacing w:before="40" w:after="0"/>
      <w:outlineLvl w:val="6"/>
    </w:pPr>
    <w:rPr>
      <w:rFonts w:ascii="Calibri Light" w:hAnsi="Calibri Light" w:eastAsia="游ゴシック Light" w:cs="Times New Roman"/>
      <w:i/>
      <w:iCs/>
      <w:color w:val="1F3763"/>
    </w:rPr>
  </w:style>
  <w:style w:type="paragraph" w:styleId="Heading8">
    <w:name w:val="Heading 8"/>
    <w:basedOn w:val="Normal"/>
    <w:next w:val="Normal"/>
    <w:qFormat/>
    <w:pPr>
      <w:keepNext w:val="true"/>
      <w:keepLines/>
      <w:spacing w:before="40" w:after="0"/>
      <w:outlineLvl w:val="7"/>
    </w:pPr>
    <w:rPr>
      <w:rFonts w:ascii="Calibri Light" w:hAnsi="Calibri Light" w:eastAsia="游ゴシック Light" w:cs="Times New Roman"/>
      <w:color w:val="272727"/>
      <w:sz w:val="21"/>
      <w:szCs w:val="21"/>
    </w:rPr>
  </w:style>
  <w:style w:type="paragraph" w:styleId="Heading9">
    <w:name w:val="Heading 9"/>
    <w:basedOn w:val="Normal"/>
    <w:next w:val="Normal"/>
    <w:qFormat/>
    <w:pPr>
      <w:keepNext w:val="true"/>
      <w:keepLines/>
      <w:spacing w:before="40" w:after="0"/>
      <w:outlineLvl w:val="8"/>
    </w:pPr>
    <w:rPr>
      <w:rFonts w:ascii="Calibri Light" w:hAnsi="Calibri Light" w:eastAsia="游ゴシック Light" w:cs="Times New Roman"/>
      <w:i/>
      <w:iCs/>
      <w:color w:val="272727"/>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rFonts w:ascii="Symbol" w:hAnsi="Symbol" w:cs="Symbol"/>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游ゴシック Light" w:cs="Times New Roman"/>
      <w:b/>
      <w:kern w:val="0"/>
      <w:sz w:val="24"/>
      <w:szCs w:val="32"/>
    </w:rPr>
  </w:style>
  <w:style w:type="character" w:styleId="Heading2Char">
    <w:name w:val="Heading 2 Char"/>
    <w:basedOn w:val="DefaultParagraphFont"/>
    <w:qFormat/>
    <w:rPr>
      <w:rFonts w:ascii="Arial" w:hAnsi="Arial" w:eastAsia="游ゴシック Light" w:cs="Times New Roman"/>
      <w:b/>
      <w:kern w:val="0"/>
      <w:szCs w:val="26"/>
    </w:rPr>
  </w:style>
  <w:style w:type="character" w:styleId="TitleChar">
    <w:name w:val="Title Char"/>
    <w:basedOn w:val="DefaultParagraphFont"/>
    <w:qFormat/>
    <w:rPr>
      <w:rFonts w:ascii="Arial" w:hAnsi="Arial" w:eastAsia="游ゴシック Light" w:cs="Times New Roman"/>
      <w:color w:val="000000"/>
      <w:spacing w:val="-10"/>
      <w:kern w:val="2"/>
      <w:sz w:val="28"/>
      <w:szCs w:val="56"/>
    </w:rPr>
  </w:style>
  <w:style w:type="character" w:styleId="Heading3Char">
    <w:name w:val="Heading 3 Char"/>
    <w:basedOn w:val="DefaultParagraphFont"/>
    <w:qFormat/>
    <w:rPr>
      <w:rFonts w:ascii="Arial" w:hAnsi="Arial" w:eastAsia="游ゴシック Light" w:cs="Times New Roman"/>
      <w:color w:val="000000"/>
      <w:kern w:val="0"/>
      <w:szCs w:val="24"/>
    </w:rPr>
  </w:style>
  <w:style w:type="character" w:styleId="Heading5Char">
    <w:name w:val="Heading 5 Char"/>
    <w:basedOn w:val="DefaultParagraphFont"/>
    <w:qFormat/>
    <w:rPr>
      <w:rFonts w:ascii="Calibri Light" w:hAnsi="Calibri Light" w:eastAsia="游ゴシック Light" w:cs="Times New Roman"/>
      <w:color w:val="2F5496"/>
      <w:kern w:val="0"/>
    </w:rPr>
  </w:style>
  <w:style w:type="character" w:styleId="Heading4Char">
    <w:name w:val="Heading 4 Char"/>
    <w:basedOn w:val="DefaultParagraphFont"/>
    <w:qFormat/>
    <w:rPr>
      <w:rFonts w:ascii="Arial" w:hAnsi="Arial" w:eastAsia="游ゴシック Light" w:cs="Times New Roman"/>
      <w:iCs/>
      <w:kern w:val="0"/>
    </w:rPr>
  </w:style>
  <w:style w:type="character" w:styleId="Heading6Char">
    <w:name w:val="Heading 6 Char"/>
    <w:basedOn w:val="DefaultParagraphFont"/>
    <w:qFormat/>
    <w:rPr>
      <w:rFonts w:ascii="Calibri Light" w:hAnsi="Calibri Light" w:eastAsia="游ゴシック Light" w:cs="Times New Roman"/>
      <w:color w:val="1F3763"/>
      <w:kern w:val="0"/>
    </w:rPr>
  </w:style>
  <w:style w:type="character" w:styleId="Heading7Char">
    <w:name w:val="Heading 7 Char"/>
    <w:basedOn w:val="DefaultParagraphFont"/>
    <w:qFormat/>
    <w:rPr>
      <w:rFonts w:ascii="Calibri Light" w:hAnsi="Calibri Light" w:eastAsia="游ゴシック Light" w:cs="Times New Roman"/>
      <w:i/>
      <w:iCs/>
      <w:color w:val="1F3763"/>
      <w:kern w:val="0"/>
    </w:rPr>
  </w:style>
  <w:style w:type="character" w:styleId="Heading8Char">
    <w:name w:val="Heading 8 Char"/>
    <w:basedOn w:val="DefaultParagraphFont"/>
    <w:qFormat/>
    <w:rPr>
      <w:rFonts w:ascii="Calibri Light" w:hAnsi="Calibri Light" w:eastAsia="游ゴシック Light" w:cs="Times New Roman"/>
      <w:color w:val="272727"/>
      <w:kern w:val="0"/>
      <w:sz w:val="21"/>
      <w:szCs w:val="21"/>
    </w:rPr>
  </w:style>
  <w:style w:type="character" w:styleId="Heading9Char">
    <w:name w:val="Heading 9 Char"/>
    <w:basedOn w:val="DefaultParagraphFont"/>
    <w:qFormat/>
    <w:rPr>
      <w:rFonts w:ascii="Calibri Light" w:hAnsi="Calibri Light" w:eastAsia="游ゴシック Light" w:cs="Times New Roman"/>
      <w:i/>
      <w:iCs/>
      <w:color w:val="272727"/>
      <w:kern w:val="0"/>
      <w:sz w:val="21"/>
      <w:szCs w:val="21"/>
    </w:rPr>
  </w:style>
  <w:style w:type="character" w:styleId="HeaderChar">
    <w:name w:val="Header Char"/>
    <w:basedOn w:val="DefaultParagraphFont"/>
    <w:qFormat/>
    <w:rPr>
      <w:rFonts w:ascii="Arial" w:hAnsi="Arial" w:cs="Arial"/>
      <w:b/>
      <w:color w:val="000000"/>
      <w:kern w:val="0"/>
      <w:sz w:val="28"/>
    </w:rPr>
  </w:style>
  <w:style w:type="character" w:styleId="FooterChar">
    <w:name w:val="Footer Char"/>
    <w:basedOn w:val="DefaultParagraphFont"/>
    <w:qFormat/>
    <w:rPr>
      <w:rFonts w:ascii="Arial" w:hAnsi="Arial" w:cs="Arial"/>
      <w:color w:val="000000"/>
      <w:kern w:val="0"/>
    </w:rPr>
  </w:style>
  <w:style w:type="character" w:styleId="BalloonTextChar">
    <w:name w:val="Balloon Text Char"/>
    <w:basedOn w:val="DefaultParagraphFont"/>
    <w:qFormat/>
    <w:rPr>
      <w:rFonts w:ascii="Segoe UI" w:hAnsi="Segoe UI" w:cs="Segoe UI"/>
      <w:color w:val="000000"/>
      <w:kern w:val="0"/>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Arial" w:hAnsi="Arial" w:cs="Arial"/>
      <w:color w:val="000000"/>
      <w:kern w:val="0"/>
      <w:sz w:val="20"/>
      <w:szCs w:val="20"/>
    </w:rPr>
  </w:style>
  <w:style w:type="character" w:styleId="CommentSubjectChar">
    <w:name w:val="Comment Subject Char"/>
    <w:basedOn w:val="CommentTextChar"/>
    <w:qFormat/>
    <w:rPr>
      <w:rFonts w:ascii="Arial" w:hAnsi="Arial" w:cs="Arial"/>
      <w:b/>
      <w:bCs/>
      <w:color w:val="000000"/>
      <w:kern w:val="0"/>
      <w:sz w:val="20"/>
      <w:szCs w:val="20"/>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954F72"/>
      <w:u w:val="single"/>
    </w:rPr>
  </w:style>
  <w:style w:type="character" w:styleId="PlaceholderText">
    <w:name w:val="Placeholder Text"/>
    <w:basedOn w:val="DefaultParagraphFont"/>
    <w:qFormat/>
    <w:rPr>
      <w:color w:val="666666"/>
    </w:rPr>
  </w:style>
  <w:style w:type="character" w:styleId="BodyTextChar">
    <w:name w:val="Body Text Char"/>
    <w:basedOn w:val="DefaultParagraphFont"/>
    <w:qFormat/>
    <w:rPr>
      <w:rFonts w:ascii="Arial" w:hAnsi="Arial" w:cs="Arial"/>
      <w:color w:val="000000"/>
      <w:kern w:val="0"/>
    </w:rPr>
  </w:style>
  <w:style w:type="character" w:styleId="BodyTextIndentChar">
    <w:name w:val="Body Text Indent Char"/>
    <w:basedOn w:val="DefaultParagraphFont"/>
    <w:qFormat/>
    <w:rPr>
      <w:rFonts w:ascii="Arial" w:hAnsi="Arial" w:cs="Arial"/>
      <w:color w:val="000000"/>
      <w:kern w:val="0"/>
    </w:rPr>
  </w:style>
  <w:style w:type="character" w:styleId="BodyTextIndent2Char">
    <w:name w:val="Body Text Indent 2 Char"/>
    <w:basedOn w:val="DefaultParagraphFont"/>
    <w:qFormat/>
    <w:rPr>
      <w:rFonts w:ascii="Arial" w:hAnsi="Arial" w:cs="Arial"/>
      <w:color w:val="000000"/>
      <w:kern w:val="0"/>
    </w:rPr>
  </w:style>
  <w:style w:type="character" w:styleId="FootnoteTextChar">
    <w:name w:val="Footnote Text Char"/>
    <w:basedOn w:val="DefaultParagraphFont"/>
    <w:qFormat/>
    <w:rPr>
      <w:rFonts w:ascii="Arial" w:hAnsi="Arial" w:cs="Arial"/>
      <w:color w:val="000000"/>
      <w:kern w:val="0"/>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ListParagraphChar">
    <w:name w:val="List Paragraph Char"/>
    <w:qFormat/>
    <w:rPr>
      <w:rFonts w:ascii="Arial" w:hAnsi="Arial" w:cs="Arial"/>
      <w:color w:val="000000"/>
      <w:kern w:val="0"/>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0"/>
      <w:contextualSpacing/>
    </w:pPr>
    <w:rPr>
      <w:rFonts w:eastAsia="游ゴシック Light" w:cs="Times New Roman"/>
      <w:spacing w:val="-10"/>
      <w:kern w:val="2"/>
      <w:sz w:val="28"/>
      <w:szCs w:val="56"/>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b/>
      <w:sz w:val="28"/>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extBodyIndent">
    <w:name w:val="Body Text Indent"/>
    <w:basedOn w:val="Normal"/>
    <w:pPr>
      <w:spacing w:before="0" w:after="120"/>
      <w:ind w:left="283" w:right="0" w:hanging="0"/>
    </w:pPr>
    <w:rPr/>
  </w:style>
  <w:style w:type="paragraph" w:styleId="BodyTextIndent2">
    <w:name w:val="Body Text Indent 2"/>
    <w:basedOn w:val="Normal"/>
    <w:qFormat/>
    <w:pPr>
      <w:spacing w:lineRule="auto" w:line="480" w:before="0" w:after="120"/>
      <w:ind w:left="283" w:right="0" w:hanging="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Footnote">
    <w:name w:val="Footnote Text"/>
    <w:basedOn w:val="Normal"/>
    <w:pPr>
      <w:spacing w:lineRule="auto" w:line="240" w:before="0" w:after="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2026-02-27T15:15:00Z</dcterms:created>
  <dc:creator>Halsall, Tracey</dc:creator>
  <dc:description/>
  <dc:language>en-US</dc:language>
  <cp:lastModifiedBy>Robinson, Daniel</cp:lastModifiedBy>
  <cp:lastPrinted>1995-11-21T17:41:00Z</cp:lastPrinted>
  <dcterms:modified xsi:type="dcterms:W3CDTF">2026-02-27T15:15:00Z</dcterms:modified>
  <cp:revision>2</cp:revision>
  <dc:subject/>
  <dc:title>Templates - Committee report and EIA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0x0101000BC8B0A5253610449229EF2D49F69498</vt:lpwstr>
  </property>
  <property fmtid="{D5CDD505-2E9C-101B-9397-08002B2CF9AE}" pid="5" name="DocSecurity">
    <vt:i4>0</vt:i4>
  </property>
  <property fmtid="{D5CDD505-2E9C-101B-9397-08002B2CF9AE}" pid="6" name="Function">
    <vt:lpwstr>18;#Chief Executives|bb6b8f83-dd38-45b8-8d07-5ac9885c472b</vt:lpwstr>
  </property>
  <property fmtid="{D5CDD505-2E9C-101B-9397-08002B2CF9AE}" pid="7" name="HyperlinksChanged">
    <vt:bool>0</vt:bool>
  </property>
  <property fmtid="{D5CDD505-2E9C-101B-9397-08002B2CF9AE}" pid="8" name="LinksUpToDate">
    <vt:bool>0</vt:bool>
  </property>
  <property fmtid="{D5CDD505-2E9C-101B-9397-08002B2CF9AE}" pid="9" name="Order">
    <vt:i4>23800</vt:i4>
  </property>
  <property fmtid="{D5CDD505-2E9C-101B-9397-08002B2CF9AE}" pid="10" name="ScaleCrop">
    <vt:bool>0</vt:bool>
  </property>
  <property fmtid="{D5CDD505-2E9C-101B-9397-08002B2CF9AE}" pid="11" name="ShareDoc">
    <vt:bool>0</vt:bool>
  </property>
  <property fmtid="{D5CDD505-2E9C-101B-9397-08002B2CF9AE}" pid="12" name="Topic">
    <vt:lpwstr>70;#Tools and Resources|f30e2b60-4437-4e21-b1c1-9f0fce0863ca</vt:lpwstr>
  </property>
  <property fmtid="{D5CDD505-2E9C-101B-9397-08002B2CF9AE}" pid="13" name="xd_Signature">
    <vt:bool>0</vt:bool>
  </property>
</Properties>
</file>