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rFonts w:eastAsia="Calibri" w:cs="Calibri"/>
        </w:rPr>
      </w:pPr>
      <w:r>
        <w:rPr>
          <w:rFonts w:eastAsia="Calibri" w:cs="Calibri"/>
        </w:rPr>
        <w:t xml:space="preserve"> </w:t>
      </w:r>
    </w:p>
    <w:p>
      <w:pPr>
        <w:pStyle w:val="Normal"/>
        <w:rPr>
          <w:b/>
          <w:bCs/>
          <w:sz w:val="40"/>
          <w:szCs w:val="40"/>
        </w:rPr>
      </w:pP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caps/>
              </w:rPr>
            </w:pPr>
            <w:r>
              <w:rPr>
                <w:rFonts w:cs="Arial" w:ascii="Arial" w:hAnsi="Arial"/>
                <w:b/>
                <w:caps/>
              </w:rPr>
              <w:t>DEPARTMENT of CHILDRENS SERVICES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caps/>
              </w:rPr>
            </w:pPr>
            <w:r>
              <w:rPr>
                <w:rFonts w:cs="Arial" w:ascii="Arial" w:hAnsi="Arial"/>
                <w:b/>
                <w:caps/>
              </w:rPr>
              <w:t>SOCIAL WORKER (EMERGENCY DUTY TEAM)</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GRADE J</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jc w:val="both"/>
              <w:rPr>
                <w:rFonts w:ascii="Arial" w:hAnsi="Arial" w:cs="Arial"/>
              </w:rPr>
            </w:pPr>
            <w:r>
              <w:rPr>
                <w:rFonts w:cs="Arial" w:ascii="Arial" w:hAnsi="Arial"/>
              </w:rPr>
              <w:t>To provide and enable the Department to provide an efficient and effective social work service. In doing so, the main purpose of the job concerns Referral and Assessment Services. This relates specifically to the provision of an emergency social work service out of office hours.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rPr>
            </w:pPr>
            <w:r>
              <w:rPr>
                <w:rFonts w:cs="Arial" w:ascii="Arial" w:hAnsi="Arial"/>
              </w:rPr>
              <w:t>Team Manager, EDT, Department of Children’s Services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vAlign w:val="center"/>
          </w:tcPr>
          <w:p>
            <w:pPr>
              <w:pStyle w:val="Normal"/>
              <w:spacing w:lineRule="auto" w:line="240" w:before="0" w:after="0"/>
              <w:rPr>
                <w:rFonts w:ascii="Arial" w:hAnsi="Arial" w:cs="Arial"/>
              </w:rPr>
            </w:pPr>
            <w:r>
              <w:rPr>
                <w:rFonts w:cs="Arial" w:ascii="Arial" w:hAnsi="Arial"/>
              </w:rPr>
              <w:t>N/A</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tabs>
                <w:tab w:val="left" w:pos="720" w:leader="none"/>
                <w:tab w:val="left" w:pos="3600" w:leader="none"/>
              </w:tabs>
              <w:spacing w:lineRule="auto" w:line="240" w:before="0" w:after="0"/>
              <w:rPr>
                <w:rFonts w:ascii="Arial" w:hAnsi="Arial" w:cs="Arial"/>
              </w:rPr>
            </w:pPr>
            <w:r>
              <w:rPr>
                <w:rFonts w:cs="Arial" w:ascii="Arial" w:hAnsi="Arial"/>
              </w:rPr>
              <w:t>The provision of a purposeful, professional social work service to appropriate service users, including the assessment of their needs and problems, in accordance with statutory requirements and Departmental policies.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tabs>
                <w:tab w:val="left" w:pos="720" w:leader="none"/>
                <w:tab w:val="left" w:pos="3600" w:leader="none"/>
              </w:tabs>
              <w:spacing w:lineRule="auto" w:line="240" w:before="0" w:after="0"/>
              <w:rPr>
                <w:rFonts w:ascii="Arial" w:hAnsi="Arial" w:cs="Arial"/>
              </w:rPr>
            </w:pPr>
            <w:r>
              <w:rPr>
                <w:rFonts w:cs="Arial" w:ascii="Arial" w:hAnsi="Arial"/>
              </w:rPr>
              <w:t>To contribute to the planning and development of the Emergency Duty Team’s services, and the Department’s Referral and Assessment services, as required as appropriate.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tabs>
                <w:tab w:val="left" w:pos="720" w:leader="none"/>
                <w:tab w:val="left" w:pos="3600" w:leader="none"/>
              </w:tabs>
              <w:spacing w:lineRule="auto" w:line="240" w:before="0" w:after="0"/>
              <w:rPr>
                <w:rFonts w:ascii="Arial" w:hAnsi="Arial" w:cs="Arial"/>
              </w:rPr>
            </w:pPr>
            <w:r>
              <w:rPr>
                <w:rFonts w:cs="Arial" w:ascii="Arial" w:hAnsi="Arial"/>
              </w:rPr>
              <w:t>To participate in the organisation and administration of the work of the post so that the job of providing the service gets done.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tabs>
                <w:tab w:val="left" w:pos="720" w:leader="none"/>
                <w:tab w:val="left" w:pos="3600" w:leader="none"/>
              </w:tabs>
              <w:spacing w:lineRule="auto" w:line="240" w:before="0" w:after="0"/>
              <w:rPr>
                <w:rFonts w:ascii="Arial" w:hAnsi="Arial" w:cs="Arial"/>
              </w:rPr>
            </w:pPr>
            <w:r>
              <w:rPr>
                <w:rFonts w:cs="Arial" w:ascii="Arial" w:hAnsi="Arial"/>
              </w:rPr>
              <w:t>To make informed decisions in emergency situations, often without reference to management.</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tabs>
                <w:tab w:val="left" w:pos="720" w:leader="none"/>
                <w:tab w:val="left" w:pos="3600" w:leader="none"/>
              </w:tabs>
              <w:spacing w:lineRule="auto" w:line="240" w:before="0" w:after="0"/>
              <w:rPr>
                <w:rFonts w:ascii="Arial" w:hAnsi="Arial" w:cs="Arial"/>
              </w:rPr>
            </w:pPr>
            <w:r>
              <w:rPr>
                <w:rFonts w:cs="Arial" w:ascii="Arial" w:hAnsi="Arial"/>
              </w:rPr>
              <w:t>To provide management information to assist in the setting, implementation and monitoring of the Department’s strategies and services.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tabs>
                <w:tab w:val="left" w:pos="720" w:leader="none"/>
                <w:tab w:val="left" w:pos="3600" w:leader="none"/>
              </w:tabs>
              <w:spacing w:lineRule="auto" w:line="240" w:before="0" w:after="0"/>
              <w:rPr>
                <w:rFonts w:ascii="Arial" w:hAnsi="Arial" w:cs="Arial"/>
              </w:rPr>
            </w:pPr>
            <w:r>
              <w:rPr>
                <w:rFonts w:cs="Arial" w:ascii="Arial" w:hAnsi="Arial"/>
              </w:rPr>
              <w:t>To provide an emergency social work service to Children’s &amp; Adults Social Care, Mental Health and homelessness as appropriate.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rmal"/>
              <w:spacing w:lineRule="auto" w:line="240" w:before="0" w:after="0"/>
              <w:rPr>
                <w:rFonts w:ascii="Arial" w:hAnsi="Arial" w:cs="Arial"/>
              </w:rPr>
            </w:pPr>
            <w:r>
              <w:rPr>
                <w:rFonts w:cs="Arial" w:ascii="Arial" w:hAnsi="Arial"/>
              </w:rPr>
              <w:t>Undertake the role of Approval Mental Health Practitioner, ensuring decisions made and actions taken are appropriate and in line with Legislation / best practice.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29" w:type="dxa"/>
            <w:gridSpan w:val="2"/>
            <w:tcBorders/>
          </w:tcPr>
          <w:p>
            <w:pPr>
              <w:pStyle w:val="Normal"/>
              <w:tabs>
                <w:tab w:val="left" w:pos="720" w:leader="none"/>
                <w:tab w:val="left" w:pos="3600" w:leader="none"/>
              </w:tabs>
              <w:spacing w:lineRule="auto" w:line="240" w:before="0" w:after="0"/>
              <w:rPr>
                <w:rFonts w:ascii="Arial" w:hAnsi="Arial" w:cs="Arial"/>
              </w:rPr>
            </w:pPr>
            <w:r>
              <w:rPr>
                <w:rFonts w:cs="Arial" w:ascii="Arial" w:hAnsi="Arial"/>
              </w:rPr>
              <w:t>To communicate and to work with other professionals, agencies. organisations and volunteers, to meet the needs of the Department’s clients.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29" w:type="dxa"/>
            <w:gridSpan w:val="2"/>
            <w:tcBorders/>
          </w:tcPr>
          <w:p>
            <w:pPr>
              <w:pStyle w:val="Normal"/>
              <w:tabs>
                <w:tab w:val="left" w:pos="720" w:leader="none"/>
                <w:tab w:val="left" w:pos="3600" w:leader="none"/>
              </w:tabs>
              <w:spacing w:lineRule="auto" w:line="240" w:before="0" w:after="0"/>
              <w:rPr>
                <w:rFonts w:ascii="Arial" w:hAnsi="Arial" w:cs="Arial"/>
              </w:rPr>
            </w:pPr>
            <w:r>
              <w:rPr>
                <w:rFonts w:cs="Arial" w:ascii="Arial" w:hAnsi="Arial"/>
              </w:rPr>
              <w:t>To work directly with service users using a range of social work knowledge, skills, methods and techniques. This relates specifically to the provision of an emergency social work service out of hours, including responsibilities under the Mental Health Act, child protection duties and other situations where there is a risk to individual members of the public.</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10</w:t>
            </w:r>
          </w:p>
          <w:p>
            <w:pPr>
              <w:pStyle w:val="Normal"/>
              <w:spacing w:lineRule="auto" w:line="240" w:before="0" w:after="0"/>
              <w:rPr>
                <w:rFonts w:ascii="Arial" w:hAnsi="Arial" w:cs="Arial"/>
                <w:b/>
              </w:rPr>
            </w:pPr>
            <w:r>
              <w:rPr>
                <w:rFonts w:cs="Arial" w:ascii="Arial" w:hAnsi="Arial"/>
                <w:b/>
              </w:rPr>
              <w:t>11</w:t>
            </w:r>
          </w:p>
          <w:p>
            <w:pPr>
              <w:pStyle w:val="Normal"/>
              <w:spacing w:lineRule="auto" w:line="240" w:before="0" w:after="0"/>
              <w:rPr>
                <w:rFonts w:ascii="Arial" w:hAnsi="Arial" w:cs="Arial"/>
                <w:b/>
                <w:sz w:val="28"/>
                <w:szCs w:val="28"/>
              </w:rPr>
            </w:pPr>
            <w:r>
              <w:rPr>
                <w:rFonts w:cs="Arial" w:ascii="Arial" w:hAnsi="Arial"/>
                <w:b/>
                <w:sz w:val="28"/>
                <w:szCs w:val="28"/>
              </w:rPr>
            </w:r>
          </w:p>
          <w:p>
            <w:pPr>
              <w:pStyle w:val="Normal"/>
              <w:spacing w:lineRule="auto" w:line="240" w:before="0" w:after="0"/>
              <w:rPr>
                <w:rFonts w:ascii="Arial" w:hAnsi="Arial" w:cs="Arial"/>
                <w:b/>
              </w:rPr>
            </w:pPr>
            <w:r>
              <w:rPr>
                <w:rFonts w:cs="Arial" w:ascii="Arial" w:hAnsi="Arial"/>
                <w:b/>
              </w:rPr>
              <w:t>12</w:t>
            </w:r>
          </w:p>
          <w:p>
            <w:pPr>
              <w:pStyle w:val="Normal"/>
              <w:spacing w:lineRule="auto" w:line="240" w:before="0" w:after="0"/>
              <w:rPr>
                <w:rFonts w:ascii="Arial" w:hAnsi="Arial" w:cs="Arial"/>
                <w:b/>
                <w:sz w:val="32"/>
                <w:szCs w:val="32"/>
              </w:rPr>
            </w:pPr>
            <w:r>
              <w:rPr>
                <w:rFonts w:cs="Arial" w:ascii="Arial" w:hAnsi="Arial"/>
                <w:b/>
                <w:sz w:val="32"/>
                <w:szCs w:val="32"/>
              </w:rPr>
            </w:r>
          </w:p>
          <w:p>
            <w:pPr>
              <w:pStyle w:val="Normal"/>
              <w:spacing w:lineRule="auto" w:line="240" w:before="0" w:after="0"/>
              <w:rPr>
                <w:rFonts w:ascii="Arial" w:hAnsi="Arial" w:cs="Arial"/>
                <w:b/>
              </w:rPr>
            </w:pPr>
            <w:r>
              <w:rPr>
                <w:rFonts w:cs="Arial" w:ascii="Arial" w:hAnsi="Arial"/>
                <w:b/>
              </w:rPr>
              <w:t>13</w:t>
            </w:r>
          </w:p>
          <w:p>
            <w:pPr>
              <w:pStyle w:val="Normal"/>
              <w:spacing w:lineRule="auto" w:line="240" w:before="0" w:after="0"/>
              <w:rPr>
                <w:rFonts w:ascii="Arial" w:hAnsi="Arial" w:cs="Arial"/>
                <w:b/>
                <w:sz w:val="4"/>
                <w:szCs w:val="4"/>
              </w:rPr>
            </w:pPr>
            <w:r>
              <w:rPr>
                <w:rFonts w:cs="Arial" w:ascii="Arial" w:hAnsi="Arial"/>
                <w:b/>
                <w:sz w:val="4"/>
                <w:szCs w:val="4"/>
              </w:rPr>
            </w:r>
          </w:p>
          <w:p>
            <w:pPr>
              <w:pStyle w:val="Normal"/>
              <w:spacing w:lineRule="auto" w:line="240" w:before="0" w:after="0"/>
              <w:rPr>
                <w:rFonts w:ascii="Arial" w:hAnsi="Arial" w:cs="Arial"/>
                <w:b/>
              </w:rPr>
            </w:pPr>
            <w:r>
              <w:rPr>
                <w:rFonts w:cs="Arial" w:ascii="Arial" w:hAnsi="Arial"/>
                <w:b/>
              </w:rPr>
              <w:t>14</w:t>
            </w:r>
          </w:p>
          <w:p>
            <w:pPr>
              <w:pStyle w:val="Normal"/>
              <w:spacing w:lineRule="auto" w:line="240" w:before="0" w:after="0"/>
              <w:rPr>
                <w:rFonts w:ascii="Arial" w:hAnsi="Arial" w:cs="Arial"/>
                <w:b/>
                <w:sz w:val="32"/>
                <w:szCs w:val="32"/>
              </w:rPr>
            </w:pPr>
            <w:r>
              <w:rPr>
                <w:rFonts w:cs="Arial" w:ascii="Arial" w:hAnsi="Arial"/>
                <w:b/>
                <w:sz w:val="32"/>
                <w:szCs w:val="32"/>
              </w:rPr>
            </w:r>
          </w:p>
          <w:p>
            <w:pPr>
              <w:pStyle w:val="Normal"/>
              <w:spacing w:lineRule="auto" w:line="240" w:before="0" w:after="0"/>
              <w:rPr>
                <w:rFonts w:ascii="Arial" w:hAnsi="Arial" w:cs="Arial"/>
                <w:b/>
              </w:rPr>
            </w:pPr>
            <w:r>
              <w:rPr>
                <w:rFonts w:cs="Arial" w:ascii="Arial" w:hAnsi="Arial"/>
                <w:b/>
              </w:rPr>
              <w:t>15</w:t>
            </w:r>
          </w:p>
          <w:p>
            <w:pPr>
              <w:pStyle w:val="Normal"/>
              <w:spacing w:lineRule="auto" w:line="240" w:before="0" w:after="0"/>
              <w:rPr>
                <w:rFonts w:ascii="Arial" w:hAnsi="Arial" w:cs="Arial"/>
                <w:b/>
                <w:sz w:val="24"/>
                <w:szCs w:val="24"/>
              </w:rPr>
            </w:pPr>
            <w:r>
              <w:rPr>
                <w:rFonts w:cs="Arial" w:ascii="Arial" w:hAnsi="Arial"/>
                <w:b/>
                <w:sz w:val="24"/>
                <w:szCs w:val="24"/>
              </w:rPr>
            </w:r>
          </w:p>
          <w:p>
            <w:pPr>
              <w:pStyle w:val="Normal"/>
              <w:spacing w:lineRule="auto" w:line="240" w:before="0" w:after="0"/>
              <w:rPr>
                <w:rFonts w:ascii="Arial" w:hAnsi="Arial" w:cs="Arial"/>
                <w:b/>
              </w:rPr>
            </w:pPr>
            <w:r>
              <w:rPr>
                <w:rFonts w:cs="Arial" w:ascii="Arial" w:hAnsi="Arial"/>
                <w:b/>
              </w:rPr>
              <w:t>16</w:t>
            </w:r>
          </w:p>
          <w:p>
            <w:pPr>
              <w:pStyle w:val="Normal"/>
              <w:spacing w:lineRule="auto" w:line="240" w:before="0" w:after="0"/>
              <w:rPr>
                <w:rFonts w:ascii="Arial" w:hAnsi="Arial" w:cs="Arial"/>
                <w:b/>
                <w:sz w:val="32"/>
                <w:szCs w:val="32"/>
              </w:rPr>
            </w:pPr>
            <w:r>
              <w:rPr>
                <w:rFonts w:cs="Arial" w:ascii="Arial" w:hAnsi="Arial"/>
                <w:b/>
                <w:sz w:val="32"/>
                <w:szCs w:val="32"/>
              </w:rPr>
            </w:r>
          </w:p>
          <w:p>
            <w:pPr>
              <w:pStyle w:val="Normal"/>
              <w:spacing w:lineRule="auto" w:line="240" w:before="0" w:after="0"/>
              <w:rPr>
                <w:rFonts w:ascii="Arial" w:hAnsi="Arial" w:cs="Arial"/>
                <w:b/>
              </w:rPr>
            </w:pPr>
            <w:r>
              <w:rPr>
                <w:rFonts w:cs="Arial" w:ascii="Arial" w:hAnsi="Arial"/>
                <w:b/>
              </w:rPr>
              <w:t>17</w:t>
            </w:r>
          </w:p>
        </w:tc>
        <w:tc>
          <w:tcPr>
            <w:tcW w:w="8829" w:type="dxa"/>
            <w:gridSpan w:val="2"/>
            <w:tcBorders/>
          </w:tcPr>
          <w:p>
            <w:pPr>
              <w:pStyle w:val="Normal"/>
              <w:tabs>
                <w:tab w:val="left" w:pos="720" w:leader="none"/>
                <w:tab w:val="left" w:pos="3600" w:leader="none"/>
              </w:tabs>
              <w:spacing w:lineRule="auto" w:line="264" w:before="0" w:after="0"/>
              <w:rPr>
                <w:rFonts w:ascii="Arial" w:hAnsi="Arial" w:cs="Arial"/>
              </w:rPr>
            </w:pPr>
            <w:r>
              <w:rPr>
                <w:rFonts w:cs="Arial" w:ascii="Arial" w:hAnsi="Arial"/>
              </w:rPr>
              <w:t>To work with the courts as appropriate.</w:t>
            </w:r>
          </w:p>
          <w:p>
            <w:pPr>
              <w:pStyle w:val="Normal"/>
              <w:tabs>
                <w:tab w:val="left" w:pos="720" w:leader="none"/>
                <w:tab w:val="left" w:pos="3600" w:leader="none"/>
              </w:tabs>
              <w:spacing w:lineRule="auto" w:line="240" w:before="0" w:after="0"/>
              <w:rPr>
                <w:rFonts w:ascii="Arial" w:hAnsi="Arial" w:cs="Arial"/>
              </w:rPr>
            </w:pPr>
            <w:r>
              <w:rPr>
                <w:rFonts w:cs="Arial" w:ascii="Arial" w:hAnsi="Arial"/>
              </w:rPr>
              <w:t>To provide professional knowledge, ideas, advice, evaluation and information to assist in the Department’s planning and development activities and to contribute to policies and standards.</w:t>
            </w:r>
          </w:p>
          <w:p>
            <w:pPr>
              <w:pStyle w:val="Normal"/>
              <w:spacing w:lineRule="auto" w:line="240" w:before="0" w:after="0"/>
              <w:rPr/>
            </w:pPr>
            <w:r>
              <w:rPr>
                <w:rFonts w:eastAsia="Times New Roman" w:cs="Arial" w:ascii="Arial" w:hAnsi="Arial"/>
                <w:iCs/>
              </w:rPr>
              <w:t>To take responsibility for maintaining accurate and up to date records using both the manual and computerised systems available to us, as required by the Department and by legislation/best practice, to inform other staff and protect service users</w:t>
            </w:r>
            <w:r>
              <w:rPr>
                <w:rFonts w:eastAsia="Times New Roman" w:cs="Arial" w:ascii="Arial" w:hAnsi="Arial"/>
              </w:rPr>
              <w:t>.</w:t>
            </w:r>
          </w:p>
          <w:p>
            <w:pPr>
              <w:pStyle w:val="Normal"/>
              <w:tabs>
                <w:tab w:val="left" w:pos="720" w:leader="none"/>
                <w:tab w:val="left" w:pos="3600" w:leader="none"/>
              </w:tabs>
              <w:spacing w:lineRule="auto" w:line="240" w:before="0" w:after="0"/>
              <w:rPr>
                <w:rFonts w:ascii="Arial" w:hAnsi="Arial" w:cs="Arial"/>
              </w:rPr>
            </w:pPr>
            <w:r>
              <w:rPr>
                <w:rFonts w:cs="Arial" w:ascii="Arial" w:hAnsi="Arial"/>
              </w:rPr>
              <w:t>To attend reviews, case conferences, core groups and network meetings and to provide the appropriate advice, information and support such forums.</w:t>
            </w:r>
          </w:p>
          <w:p>
            <w:pPr>
              <w:pStyle w:val="Normal"/>
              <w:tabs>
                <w:tab w:val="left" w:pos="720" w:leader="none"/>
                <w:tab w:val="left" w:pos="3600" w:leader="none"/>
              </w:tabs>
              <w:spacing w:lineRule="auto" w:line="240" w:before="0" w:after="0"/>
              <w:rPr/>
            </w:pPr>
            <w:r>
              <w:rPr>
                <w:rFonts w:cs="Arial" w:ascii="Arial" w:hAnsi="Arial"/>
                <w:iCs/>
              </w:rPr>
              <w:t>Provision of guidance, support and case supervision to other staff, including Back up Social Workers and call handlers, who work out of hours and, where appropriate, approval of case management decisions</w:t>
            </w:r>
            <w:r>
              <w:rPr>
                <w:rFonts w:cs="Arial" w:ascii="Arial" w:hAnsi="Arial"/>
              </w:rPr>
              <w:t xml:space="preserve">. </w:t>
            </w:r>
          </w:p>
          <w:p>
            <w:pPr>
              <w:pStyle w:val="Normal"/>
              <w:tabs>
                <w:tab w:val="left" w:pos="720" w:leader="none"/>
                <w:tab w:val="left" w:pos="3600" w:leader="none"/>
              </w:tabs>
              <w:spacing w:lineRule="auto" w:line="240" w:before="0" w:after="0"/>
              <w:rPr>
                <w:rFonts w:ascii="Arial" w:hAnsi="Arial" w:cs="Arial"/>
              </w:rPr>
            </w:pPr>
            <w:r>
              <w:rPr>
                <w:rFonts w:cs="Arial" w:ascii="Arial" w:hAnsi="Arial"/>
              </w:rPr>
              <w:t>To participate in the supervision of the postholder’s own work, with his/her line manager and to participate in the identification and resolution of the postholder’s own development and training needs.</w:t>
            </w:r>
          </w:p>
          <w:p>
            <w:pPr>
              <w:pStyle w:val="Normal"/>
              <w:spacing w:lineRule="auto" w:line="240" w:before="0" w:after="0"/>
              <w:rPr>
                <w:rFonts w:ascii="Arial" w:hAnsi="Arial" w:cs="Arial"/>
              </w:rPr>
            </w:pPr>
            <w:r>
              <w:rPr>
                <w:rFonts w:cs="Arial" w:ascii="Arial" w:hAnsi="Arial"/>
              </w:rPr>
              <w:t>To work with partner agencies in the development of the service, ensuring that information is fed back to managers and that decisions taken support the work of the Emergency Duty Service.</w:t>
            </w:r>
          </w:p>
          <w:p>
            <w:pPr>
              <w:pStyle w:val="Normal"/>
              <w:tabs>
                <w:tab w:val="left" w:pos="720" w:leader="none"/>
                <w:tab w:val="left" w:pos="3600" w:leader="none"/>
              </w:tabs>
              <w:spacing w:lineRule="auto" w:line="240" w:before="0" w:after="0"/>
              <w:rPr>
                <w:rFonts w:ascii="Arial" w:hAnsi="Arial" w:cs="Arial"/>
              </w:rPr>
            </w:pPr>
            <w:r>
              <w:rPr>
                <w:rFonts w:cs="Arial" w:ascii="Arial" w:hAnsi="Arial"/>
              </w:rPr>
              <w:t>To ensure that all customers are treated with equal respect and in accordance with the Council’s Customer Care Standards.</w:t>
            </w:r>
          </w:p>
          <w:p>
            <w:pPr>
              <w:pStyle w:val="Normal"/>
              <w:tabs>
                <w:tab w:val="left" w:pos="720" w:leader="none"/>
                <w:tab w:val="left" w:pos="3600" w:leader="none"/>
              </w:tabs>
              <w:spacing w:lineRule="auto" w:line="240" w:before="0" w:after="0"/>
              <w:rPr>
                <w:rFonts w:ascii="Arial" w:hAnsi="Arial" w:cs="Arial"/>
              </w:rPr>
            </w:pPr>
            <w:r>
              <w:rPr>
                <w:rFonts w:cs="Arial" w:ascii="Arial" w:hAnsi="Arial"/>
              </w:rPr>
            </w:r>
          </w:p>
          <w:p>
            <w:pPr>
              <w:pStyle w:val="Normal"/>
              <w:tabs>
                <w:tab w:val="left" w:pos="720" w:leader="none"/>
                <w:tab w:val="left" w:pos="3600" w:leader="none"/>
              </w:tabs>
              <w:spacing w:lineRule="auto" w:line="240" w:before="0" w:after="0"/>
              <w:rPr>
                <w:rFonts w:ascii="Arial" w:hAnsi="Arial" w:cs="Arial"/>
              </w:rPr>
            </w:pPr>
            <w:r>
              <w:rPr>
                <w:rFonts w:cs="Arial" w:ascii="Arial" w:hAnsi="Arial"/>
              </w:rPr>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65" w:type="dxa"/>
            <w:tcBorders/>
          </w:tcPr>
          <w:p>
            <w:pPr>
              <w:pStyle w:val="Normal"/>
              <w:spacing w:lineRule="auto" w:line="240" w:before="0" w:after="0"/>
              <w:rPr>
                <w:rFonts w:ascii="Arial" w:hAnsi="Arial" w:cs="Arial"/>
                <w:b/>
              </w:rPr>
            </w:pPr>
            <w:r>
              <w:rPr>
                <w:rFonts w:cs="Arial" w:ascii="Arial" w:hAnsi="Arial"/>
                <w:b/>
              </w:rPr>
              <w:t>October 2022</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5" w:type="dxa"/>
            <w:tcBorders/>
          </w:tcPr>
          <w:p>
            <w:pPr>
              <w:pStyle w:val="Normal"/>
              <w:spacing w:lineRule="auto" w:line="240" w:before="0" w:after="0"/>
              <w:rPr>
                <w:rFonts w:ascii="Arial" w:hAnsi="Arial" w:cs="Arial"/>
                <w:b/>
              </w:rPr>
            </w:pPr>
            <w:r>
              <w:rPr>
                <w:rFonts w:cs="Arial" w:ascii="Arial" w:hAnsi="Arial"/>
                <w:b/>
              </w:rPr>
              <w:t>Sarah Gatenby, Senior Head of Service</w:t>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b/>
          <w:bCs/>
          <w:sz w:val="40"/>
          <w:szCs w:val="40"/>
        </w:rPr>
      </w:pPr>
      <w:r>
        <w:rPr>
          <w:b/>
          <w:bCs/>
          <w:sz w:val="40"/>
          <w:szCs w:val="40"/>
        </w:rPr>
        <w:t>Person Specification</w:t>
      </w:r>
    </w:p>
    <w:tbl>
      <w:tblPr>
        <w:tblW w:w="10254" w:type="dxa"/>
        <w:jc w:val="left"/>
        <w:tblInd w:w="108" w:type="dxa"/>
        <w:tblLayout w:type="fixed"/>
        <w:tblCellMar>
          <w:top w:w="0" w:type="dxa"/>
          <w:left w:w="108" w:type="dxa"/>
          <w:bottom w:w="0" w:type="dxa"/>
          <w:right w:w="108" w:type="dxa"/>
        </w:tblCellMar>
      </w:tblPr>
      <w:tblGrid>
        <w:gridCol w:w="688"/>
        <w:gridCol w:w="33"/>
        <w:gridCol w:w="978"/>
        <w:gridCol w:w="143"/>
        <w:gridCol w:w="4348"/>
        <w:gridCol w:w="399"/>
        <w:gridCol w:w="19"/>
        <w:gridCol w:w="3646"/>
      </w:tblGrid>
      <w:tr>
        <w:trPr/>
        <w:tc>
          <w:tcPr>
            <w:tcW w:w="1699"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555" w:type="dxa"/>
            <w:gridSpan w:val="5"/>
            <w:tcBorders/>
          </w:tcPr>
          <w:p>
            <w:pPr>
              <w:pStyle w:val="Normal"/>
              <w:spacing w:lineRule="auto" w:line="240" w:before="60" w:after="60"/>
              <w:rPr>
                <w:rFonts w:ascii="Arial" w:hAnsi="Arial" w:cs="Arial"/>
                <w:b/>
                <w:caps/>
              </w:rPr>
            </w:pPr>
            <w:r>
              <w:rPr>
                <w:rFonts w:cs="Arial" w:ascii="Arial" w:hAnsi="Arial"/>
                <w:b/>
                <w:caps/>
              </w:rPr>
              <w:t>Department of CHILDREN’S SERVICES</w:t>
            </w:r>
          </w:p>
        </w:tc>
      </w:tr>
      <w:tr>
        <w:trPr/>
        <w:tc>
          <w:tcPr>
            <w:tcW w:w="1699"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555" w:type="dxa"/>
            <w:gridSpan w:val="5"/>
            <w:tcBorders>
              <w:bottom w:val="single" w:sz="4" w:space="0" w:color="000000"/>
            </w:tcBorders>
          </w:tcPr>
          <w:p>
            <w:pPr>
              <w:pStyle w:val="Normal"/>
              <w:spacing w:lineRule="auto" w:line="240" w:before="60" w:after="60"/>
              <w:rPr>
                <w:rFonts w:ascii="Arial" w:hAnsi="Arial" w:cs="Arial"/>
                <w:b/>
                <w:caps/>
              </w:rPr>
            </w:pPr>
            <w:r>
              <w:rPr>
                <w:rFonts w:cs="Arial" w:ascii="Arial" w:hAnsi="Arial"/>
                <w:b/>
                <w:caps/>
              </w:rPr>
              <w:t>SOCIAL WORKER (EMERGENCY DUTY TEAM)</w:t>
            </w:r>
          </w:p>
        </w:tc>
      </w:tr>
      <w:tr>
        <w:trPr/>
        <w:tc>
          <w:tcPr>
            <w:tcW w:w="1699"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555"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608"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646"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88" w:type="dxa"/>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9566" w:type="dxa"/>
            <w:gridSpan w:val="7"/>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88"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920"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An ability to work alone without supervision.</w:t>
            </w:r>
          </w:p>
        </w:tc>
        <w:tc>
          <w:tcPr>
            <w:tcW w:w="3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88"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920"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Able to demonstrate a high level of initiative.</w:t>
            </w:r>
          </w:p>
        </w:tc>
        <w:tc>
          <w:tcPr>
            <w:tcW w:w="3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88"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920"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Ability to demonstrate knowledge of a range of social work skills, methods and techniques to emergency social care services.</w:t>
            </w:r>
          </w:p>
        </w:tc>
        <w:tc>
          <w:tcPr>
            <w:tcW w:w="3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88" w:type="dxa"/>
            <w:tcBorders>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920"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A detailed working knowledge of social work legislation.</w:t>
            </w:r>
          </w:p>
        </w:tc>
        <w:tc>
          <w:tcPr>
            <w:tcW w:w="3646"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88" w:type="dxa"/>
            <w:tcBorders>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920"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Ability to organise and prioritise within appropriate timescales when under pressure.</w:t>
            </w:r>
          </w:p>
        </w:tc>
        <w:tc>
          <w:tcPr>
            <w:tcW w:w="3646"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88" w:type="dxa"/>
            <w:tcBorders>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920"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An understanding of the role and expectations of supervision.</w:t>
            </w:r>
          </w:p>
        </w:tc>
        <w:tc>
          <w:tcPr>
            <w:tcW w:w="3646"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88" w:type="dxa"/>
            <w:tcBorders>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920"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Commitment to work as a member of a team and support colleagues.</w:t>
            </w:r>
          </w:p>
        </w:tc>
        <w:tc>
          <w:tcPr>
            <w:tcW w:w="3646"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88" w:type="dxa"/>
            <w:tcBorders/>
          </w:tcPr>
          <w:p>
            <w:pPr>
              <w:pStyle w:val="Normal"/>
              <w:snapToGrid w:val="false"/>
              <w:spacing w:lineRule="auto" w:line="240" w:before="120" w:after="120"/>
              <w:rPr>
                <w:rFonts w:ascii="Arial" w:hAnsi="Arial" w:cs="Arial"/>
              </w:rPr>
            </w:pPr>
            <w:r>
              <w:rPr>
                <w:rFonts w:cs="Arial" w:ascii="Arial" w:hAnsi="Arial"/>
              </w:rPr>
            </w:r>
          </w:p>
        </w:tc>
        <w:tc>
          <w:tcPr>
            <w:tcW w:w="5920" w:type="dxa"/>
            <w:gridSpan w:val="6"/>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646" w:type="dxa"/>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10254"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7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868"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Social Work degree or equivalent.</w:t>
            </w:r>
          </w:p>
        </w:tc>
        <w:tc>
          <w:tcPr>
            <w:tcW w:w="3665"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Application/Proof of qualification</w:t>
            </w:r>
          </w:p>
        </w:tc>
      </w:tr>
      <w:tr>
        <w:trPr>
          <w:cantSplit w:val="true"/>
        </w:trPr>
        <w:tc>
          <w:tcPr>
            <w:tcW w:w="7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868"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Registered with Social Work England</w:t>
            </w:r>
          </w:p>
        </w:tc>
        <w:tc>
          <w:tcPr>
            <w:tcW w:w="3665"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Proof of registration</w:t>
            </w:r>
          </w:p>
        </w:tc>
      </w:tr>
      <w:tr>
        <w:trPr>
          <w:cantSplit w:val="true"/>
        </w:trPr>
        <w:tc>
          <w:tcPr>
            <w:tcW w:w="7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868"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Approved Mental Health Practitioner with experience of practicing as one</w:t>
            </w:r>
          </w:p>
        </w:tc>
        <w:tc>
          <w:tcPr>
            <w:tcW w:w="3665"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7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868"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Considerable post qualification social work experience of general social work provision with vulnerable children and adults.</w:t>
            </w:r>
          </w:p>
        </w:tc>
        <w:tc>
          <w:tcPr>
            <w:tcW w:w="3665"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7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868"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Experience of operating an emergency social work service.</w:t>
            </w:r>
          </w:p>
        </w:tc>
        <w:tc>
          <w:tcPr>
            <w:tcW w:w="3665"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7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868"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Proven experience of making informed and appropriate decisions in emergency situations, often without reference to management </w:t>
            </w:r>
          </w:p>
        </w:tc>
        <w:tc>
          <w:tcPr>
            <w:tcW w:w="3665"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7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868"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Experience of providing effective guidance, support and case supervision to others.</w:t>
            </w:r>
          </w:p>
        </w:tc>
        <w:tc>
          <w:tcPr>
            <w:tcW w:w="3665"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7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8.</w:t>
            </w:r>
          </w:p>
        </w:tc>
        <w:tc>
          <w:tcPr>
            <w:tcW w:w="5868"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Considerable experience of child care social work and child protection risk assessments.</w:t>
            </w:r>
          </w:p>
        </w:tc>
        <w:tc>
          <w:tcPr>
            <w:tcW w:w="3665"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7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9.</w:t>
            </w:r>
          </w:p>
        </w:tc>
        <w:tc>
          <w:tcPr>
            <w:tcW w:w="5868"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Experience of working with young offenders.</w:t>
            </w:r>
          </w:p>
        </w:tc>
        <w:tc>
          <w:tcPr>
            <w:tcW w:w="3665"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7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10.</w:t>
            </w:r>
          </w:p>
        </w:tc>
        <w:tc>
          <w:tcPr>
            <w:tcW w:w="5868"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Experience of safeguarding adults, assessing and co-ordinating the provision of emergency support to Adults in the Community.</w:t>
            </w:r>
          </w:p>
        </w:tc>
        <w:tc>
          <w:tcPr>
            <w:tcW w:w="3665"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10254"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7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868"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665"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7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868"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665"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7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868"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This role requires the job holder to work outside of normal office hours, for example at evenings and weekends, to meet the needs of the service. </w:t>
            </w:r>
          </w:p>
        </w:tc>
        <w:tc>
          <w:tcPr>
            <w:tcW w:w="3665"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7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868"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This post is subject to an enhanced disclosure from the Disclosure &amp; Barring Service with check of relevant barred list(s)</w:t>
            </w:r>
          </w:p>
        </w:tc>
        <w:tc>
          <w:tcPr>
            <w:tcW w:w="3665"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721"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868"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This post has been designated an essential car user post. You must hold a full, current and valid driving licence and a vehicle with a current valid MOT certificate. You will also need adequate vehicle insurance cover to comply with the council’s requirements, in line with the Travel Costs Reimbursement Policy</w:t>
            </w:r>
          </w:p>
        </w:tc>
        <w:tc>
          <w:tcPr>
            <w:tcW w:w="3665"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842"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8412"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608" w:type="dxa"/>
            <w:gridSpan w:val="7"/>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646"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10254"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88"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920"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646"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10254"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88"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920"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Approved Mental Health Professional Status</w:t>
            </w:r>
          </w:p>
        </w:tc>
        <w:tc>
          <w:tcPr>
            <w:tcW w:w="3646"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trHeight w:val="502" w:hRule="atLeast"/>
        </w:trPr>
        <w:tc>
          <w:tcPr>
            <w:tcW w:w="6190" w:type="dxa"/>
            <w:gridSpan w:val="5"/>
            <w:tcBorders/>
          </w:tcPr>
          <w:p>
            <w:pPr>
              <w:pStyle w:val="Normal"/>
              <w:spacing w:lineRule="auto" w:line="240" w:before="0" w:after="0"/>
              <w:rPr>
                <w:rFonts w:ascii="Arial" w:hAnsi="Arial" w:cs="Arial"/>
                <w:b/>
              </w:rPr>
            </w:pPr>
            <w:r>
              <w:rPr>
                <w:rFonts w:cs="Arial" w:ascii="Arial" w:hAnsi="Arial"/>
                <w:b/>
              </w:rPr>
              <w:t>Date Person Specification prepared/updated</w:t>
            </w:r>
          </w:p>
        </w:tc>
        <w:tc>
          <w:tcPr>
            <w:tcW w:w="4064" w:type="dxa"/>
            <w:gridSpan w:val="3"/>
            <w:tcBorders/>
          </w:tcPr>
          <w:p>
            <w:pPr>
              <w:pStyle w:val="Normal"/>
              <w:spacing w:lineRule="auto" w:line="240" w:before="0" w:after="0"/>
              <w:rPr>
                <w:rFonts w:ascii="Arial" w:hAnsi="Arial" w:cs="Arial"/>
                <w:b/>
              </w:rPr>
            </w:pPr>
            <w:r>
              <w:rPr>
                <w:rFonts w:cs="Arial" w:ascii="Arial" w:hAnsi="Arial"/>
                <w:b/>
              </w:rPr>
              <w:t>October 2022</w:t>
            </w:r>
          </w:p>
        </w:tc>
      </w:tr>
      <w:tr>
        <w:trPr>
          <w:trHeight w:val="812" w:hRule="atLeast"/>
        </w:trPr>
        <w:tc>
          <w:tcPr>
            <w:tcW w:w="6190" w:type="dxa"/>
            <w:gridSpan w:val="5"/>
            <w:tcBorders/>
          </w:tcPr>
          <w:p>
            <w:pPr>
              <w:pStyle w:val="Normal"/>
              <w:spacing w:lineRule="auto" w:line="240" w:before="0" w:after="0"/>
              <w:rPr>
                <w:rFonts w:ascii="Arial" w:hAnsi="Arial" w:cs="Arial"/>
                <w:b/>
              </w:rPr>
            </w:pPr>
            <w:r>
              <w:rPr>
                <w:rFonts w:cs="Arial" w:ascii="Arial" w:hAnsi="Arial"/>
                <w:b/>
              </w:rPr>
              <w:t>Person Specification prepared by</w:t>
            </w:r>
          </w:p>
        </w:tc>
        <w:tc>
          <w:tcPr>
            <w:tcW w:w="4064" w:type="dxa"/>
            <w:gridSpan w:val="3"/>
            <w:tcBorders/>
          </w:tcPr>
          <w:p>
            <w:pPr>
              <w:pStyle w:val="Normal"/>
              <w:spacing w:lineRule="auto" w:line="240" w:before="0" w:after="0"/>
              <w:rPr>
                <w:rFonts w:ascii="Arial" w:hAnsi="Arial" w:cs="Arial"/>
                <w:b/>
              </w:rPr>
            </w:pPr>
            <w:r>
              <w:rPr>
                <w:rFonts w:cs="Arial" w:ascii="Arial" w:hAnsi="Arial"/>
                <w:b/>
              </w:rPr>
              <w:t>Sarah Gatenby, Senior Head of Service</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