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Deputy Head of SEND, Prevention and Early Intervention</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Soulbury 13-16 </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To provide strategic and operational leadership for early intervention, inclusion and prevention across the SEND service, ensuring that children and young people receive timely, appropriate support at the earliest opportunity.</w:t>
            </w:r>
          </w:p>
          <w:p>
            <w:pPr>
              <w:pStyle w:val="Normal"/>
              <w:spacing w:lineRule="auto" w:line="276"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To lead the development of effective early identification systems, graduated responses and evidence-informed interventions, reducing escalation to higher levels of need wherever possible and improving outcomes for children and young people with additional needs and/or disabilities.</w:t>
            </w:r>
          </w:p>
          <w:p>
            <w:pPr>
              <w:pStyle w:val="Normal"/>
              <w:spacing w:lineRule="auto" w:line="276" w:before="0" w:after="0"/>
              <w:rPr>
                <w:rFonts w:ascii="Arial" w:hAnsi="Arial" w:cs="Arial"/>
              </w:rPr>
            </w:pPr>
            <w:r>
              <w:rPr>
                <w:rFonts w:cs="Arial" w:ascii="Arial" w:hAnsi="Arial"/>
              </w:rPr>
            </w:r>
          </w:p>
          <w:p>
            <w:pPr>
              <w:pStyle w:val="Normal"/>
              <w:spacing w:lineRule="auto" w:line="276" w:before="0" w:after="0"/>
              <w:rPr>
                <w:rFonts w:ascii="Arial" w:hAnsi="Arial" w:cs="Arial"/>
              </w:rPr>
            </w:pPr>
            <w:r>
              <w:rPr>
                <w:rFonts w:cs="Arial" w:ascii="Arial" w:hAnsi="Arial"/>
              </w:rPr>
              <w:t>To will work in partnership with schools, families, our parent carer forum, health and social care colleagues to promote inclusive practice, build capacity within settings and ensure that resources are targeted effectively to prevent needs from becoming more complex.</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To lead on the prevention and early intervention elements of the SEND Reforms, including the universal offer, targeted support offer and targeted plus support offer, Experts and Hand offer and Individual Support Plans.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To ensure that all early intervention support is well co-ordinated and carefully designed to meet the needs of Bolton and that this support is well understood, well embedded and effective in meeting need early and preventing escalation.  </w:t>
            </w:r>
          </w:p>
          <w:p>
            <w:pPr>
              <w:pStyle w:val="Normal"/>
              <w:spacing w:lineRule="auto" w:line="276" w:before="0" w:after="0"/>
              <w:rPr>
                <w:rFonts w:ascii="Arial" w:hAnsi="Arial" w:cs="Arial"/>
              </w:rPr>
            </w:pPr>
            <w:r>
              <w:rPr>
                <w:rFonts w:cs="Arial" w:ascii="Arial" w:hAnsi="Arial"/>
              </w:rPr>
            </w:r>
          </w:p>
          <w:p>
            <w:pPr>
              <w:pStyle w:val="Normal"/>
              <w:spacing w:lineRule="auto" w:line="240" w:before="0" w:after="0"/>
              <w:rPr>
                <w:rFonts w:ascii="Arial" w:hAnsi="Arial" w:cs="Arial"/>
                <w:bCs/>
                <w:lang w:val="en-US"/>
              </w:rPr>
            </w:pPr>
            <w:r>
              <w:rPr>
                <w:rFonts w:cs="Arial" w:ascii="Arial" w:hAnsi="Arial"/>
                <w:bCs/>
                <w:lang w:val="en-US"/>
              </w:rPr>
              <w:t xml:space="preserve">To support the Head of SEND in the overall management and leadership of SEND across the Local Area. </w:t>
            </w:r>
          </w:p>
          <w:p>
            <w:pPr>
              <w:pStyle w:val="Normal"/>
              <w:spacing w:lineRule="auto" w:line="240" w:before="0" w:after="0"/>
              <w:rPr>
                <w:rFonts w:ascii="Arial" w:hAnsi="Arial" w:cs="Arial"/>
                <w:bCs/>
                <w:lang w:val="en-US"/>
              </w:rPr>
            </w:pPr>
            <w:r>
              <w:rPr>
                <w:rFonts w:cs="Arial" w:ascii="Arial" w:hAnsi="Arial"/>
                <w:bCs/>
                <w:lang w:val="en-US"/>
              </w:rPr>
              <w:t>To lead on project work and SEND multiagency workstreams aligned with the SEND Reform Strategy.</w:t>
            </w:r>
          </w:p>
          <w:p>
            <w:pPr>
              <w:pStyle w:val="Normal"/>
              <w:spacing w:lineRule="auto" w:line="240" w:before="0" w:after="0"/>
              <w:rPr>
                <w:rFonts w:ascii="Arial" w:hAnsi="Arial" w:cs="Arial"/>
                <w:bCs/>
                <w:lang w:val="en-US"/>
              </w:rPr>
            </w:pPr>
            <w:r>
              <w:rPr>
                <w:rFonts w:cs="Arial" w:ascii="Arial" w:hAnsi="Arial"/>
                <w:bCs/>
                <w:lang w:val="en-US"/>
              </w:rPr>
              <w:t>To deputise for the Head of SEND as appropriate at strategic meetings.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Head of Service Children with SEN</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No direct staffing reports but responsibility and oversight for the deployment and effectiveness of the Experts at Hand Team</w:t>
            </w:r>
          </w:p>
        </w:tc>
      </w:tr>
    </w:tbl>
    <w:p>
      <w:pPr>
        <w:pStyle w:val="Normal"/>
        <w:spacing w:before="0" w:after="120"/>
        <w:rPr>
          <w:rFonts w:ascii="Arial" w:hAnsi="Arial" w:cs="Arial"/>
          <w:sz w:val="16"/>
          <w:szCs w:val="16"/>
        </w:rPr>
      </w:pPr>
      <w:r>
        <w:rPr>
          <w:rFonts w:cs="Arial" w:ascii="Arial" w:hAnsi="Arial"/>
          <w:sz w:val="16"/>
          <w:szCs w:val="16"/>
        </w:rPr>
      </w:r>
    </w:p>
    <w:p>
      <w:pPr>
        <w:pStyle w:val="Normal"/>
        <w:spacing w:before="0" w:after="120"/>
        <w:rPr>
          <w:rFonts w:ascii="Arial" w:hAnsi="Arial" w:cs="Arial"/>
          <w:b/>
        </w:rPr>
      </w:pPr>
      <w:r>
        <w:rPr>
          <w:rFonts w:cs="Arial" w:ascii="Arial" w:hAnsi="Arial"/>
          <w:b/>
        </w:rPr>
        <w:t>Main Duties</w:t>
      </w:r>
    </w:p>
    <w:tbl>
      <w:tblPr>
        <w:tblW w:w="9632" w:type="dxa"/>
        <w:jc w:val="left"/>
        <w:tblInd w:w="108" w:type="dxa"/>
        <w:tblLayout w:type="fixed"/>
        <w:tblCellMar>
          <w:top w:w="0" w:type="dxa"/>
          <w:left w:w="108" w:type="dxa"/>
          <w:bottom w:w="0" w:type="dxa"/>
          <w:right w:w="108" w:type="dxa"/>
        </w:tblCellMar>
      </w:tblPr>
      <w:tblGrid>
        <w:gridCol w:w="809"/>
        <w:gridCol w:w="3760"/>
        <w:gridCol w:w="5063"/>
      </w:tblGrid>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play a lead role in improving early intervention for children and young people who have/may have SEND aged 0-25 years across Bolton.</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2</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lead the development and implementation of the Local Authority's Early Intervention and Prevention Strategy for SEND, ensuring that this is well aligned with other prevention work across the council e.g. Families First, Early Help and Best Start in Life.</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3</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support the Head of SEND in delivering statutory duties and strategic priorities.</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4</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 xml:space="preserve">To drive a culture of early identification and inclusive practice across all Early Years, primary, secondary and Post 16 settings. </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5</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ensure that SEND provision in Bolton is well aligned with national legislation, the SEND Code of Practice and local strategic priorities. Both currently and in the light of the upcoming reforms.</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6</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use intelligence and data gathered from early identification work to contribute to SEND sufficiency planning and strategic commissioning arrangements.</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7</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lead service improvement initiatives relating to inclusion, early intervention and SEND outcomes.</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8</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200"/>
              <w:rPr>
                <w:rFonts w:ascii="Arial" w:hAnsi="Arial" w:cs="Arial"/>
              </w:rPr>
            </w:pPr>
            <w:r>
              <w:rPr>
                <w:rFonts w:cs="Arial" w:ascii="Arial" w:hAnsi="Arial"/>
              </w:rPr>
              <w:t>To develop robust systems for identifying emerging special educational needs at the earliest stage</w:t>
            </w:r>
          </w:p>
          <w:p>
            <w:pPr>
              <w:pStyle w:val="Normal"/>
              <w:tabs>
                <w:tab w:val="clear" w:pos="720"/>
                <w:tab w:val="left" w:pos="3060" w:leader="none"/>
              </w:tabs>
              <w:spacing w:lineRule="auto" w:line="240" w:before="0" w:after="0"/>
              <w:rPr>
                <w:rFonts w:ascii="Arial" w:hAnsi="Arial" w:cs="Arial"/>
              </w:rPr>
            </w:pPr>
            <w:r>
              <w:rPr>
                <w:rFonts w:cs="Arial" w:ascii="Arial" w:hAnsi="Arial"/>
              </w:rPr>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9</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actively promote the consistent use of the graduated approach across schools and settings, ensuring that schools are supported to use the assess, plan, do, review cycle effectively.</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10</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monitor the effectiveness of SEND Support arrangements and targeted interventions.</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11</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To promote the use of evidence-based approaches that improve outcomes and reduce barriers to learning.</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12</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Lead initiatives aimed at reducing unnecessary escalation to Education, Health and Care Needs Assessments (EHCNAs) through earlier intervention.</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13</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 xml:space="preserve">Work collaboratively with school leaders, SENCOs and inclusion teams to improve quality-first teaching across all settings in Bolton. </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 xml:space="preserve">14 </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Develop training programmes that build workforce confidence in early identification and intervention.</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15</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rPr>
            </w:pPr>
            <w:r>
              <w:rPr>
                <w:rFonts w:cs="Arial" w:ascii="Arial" w:hAnsi="Arial"/>
              </w:rPr>
              <w:t>Promote co-production across all aspects of the service.</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16</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pPr>
            <w:r>
              <w:rPr>
                <w:rFonts w:cs="Arial" w:ascii="Arial" w:hAnsi="Arial"/>
              </w:rPr>
              <w:t xml:space="preserve">To lead on </w:t>
            </w:r>
            <w:r>
              <w:rPr>
                <w:rFonts w:cs="Arial" w:ascii="Arial" w:hAnsi="Arial"/>
                <w:bCs/>
                <w:lang w:val="en-US"/>
              </w:rPr>
              <w:t>key pieces of multi-agency project work, aligned to the SEND Strategy across the local area.</w:t>
            </w:r>
          </w:p>
        </w:tc>
      </w:tr>
      <w:tr>
        <w:trPr>
          <w:trHeight w:val="506" w:hRule="atLeast"/>
        </w:trPr>
        <w:tc>
          <w:tcPr>
            <w:tcW w:w="809" w:type="dxa"/>
            <w:tcBorders>
              <w:right w:val="single" w:sz="4" w:space="0" w:color="000000"/>
            </w:tcBorders>
          </w:tcPr>
          <w:p>
            <w:pPr>
              <w:pStyle w:val="Normal"/>
              <w:spacing w:lineRule="auto" w:line="240" w:before="0" w:after="0"/>
              <w:rPr>
                <w:rFonts w:ascii="Arial" w:hAnsi="Arial" w:cs="Arial"/>
                <w:b/>
              </w:rPr>
            </w:pPr>
            <w:r>
              <w:rPr>
                <w:rFonts w:cs="Arial" w:ascii="Arial" w:hAnsi="Arial"/>
                <w:b/>
              </w:rPr>
              <w:t>17</w:t>
            </w:r>
          </w:p>
        </w:tc>
        <w:tc>
          <w:tcPr>
            <w:tcW w:w="8823"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20"/>
                <w:tab w:val="left" w:pos="3060" w:leader="none"/>
              </w:tabs>
              <w:spacing w:lineRule="auto" w:line="240" w:before="0" w:after="0"/>
              <w:rPr>
                <w:rFonts w:ascii="Arial" w:hAnsi="Arial" w:cs="Arial"/>
                <w:color w:val="000000"/>
              </w:rPr>
            </w:pPr>
            <w:r>
              <w:rPr>
                <w:rFonts w:cs="Arial" w:ascii="Arial" w:hAnsi="Arial"/>
                <w:color w:val="000000"/>
              </w:rPr>
              <w:t xml:space="preserve">To chair/attend meetings and panels, both within and outside the borough as required. </w:t>
            </w:r>
          </w:p>
        </w:tc>
      </w:tr>
      <w:tr>
        <w:trPr/>
        <w:tc>
          <w:tcPr>
            <w:tcW w:w="4569" w:type="dxa"/>
            <w:gridSpan w:val="2"/>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Job Description prepared/updated:</w:t>
            </w:r>
          </w:p>
        </w:tc>
        <w:tc>
          <w:tcPr>
            <w:tcW w:w="5063" w:type="dxa"/>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July 2026</w:t>
            </w:r>
          </w:p>
        </w:tc>
      </w:tr>
      <w:tr>
        <w:trPr/>
        <w:tc>
          <w:tcPr>
            <w:tcW w:w="4569"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3" w:type="dxa"/>
            <w:tcBorders/>
          </w:tcPr>
          <w:p>
            <w:pPr>
              <w:pStyle w:val="Normal"/>
              <w:spacing w:lineRule="auto" w:line="240" w:before="0" w:after="0"/>
              <w:rPr>
                <w:rFonts w:ascii="Arial" w:hAnsi="Arial" w:cs="Arial"/>
                <w:b/>
              </w:rPr>
            </w:pPr>
            <w:r>
              <w:rPr>
                <w:rFonts w:cs="Arial" w:ascii="Arial" w:hAnsi="Arial"/>
                <w:b/>
              </w:rPr>
              <w:t>Sue Cornwell/Head of Service Children with SEN</w:t>
            </w:r>
          </w:p>
        </w:tc>
      </w:tr>
    </w:tbl>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rPr>
            </w:pPr>
            <w:r>
              <w:rPr>
                <w:rFonts w:cs="Arial" w:ascii="Arial" w:hAnsi="Arial"/>
                <w:b/>
              </w:rPr>
              <w:t>Children’s Services</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rFonts w:ascii="Arial" w:hAnsi="Arial" w:cs="Arial"/>
              </w:rPr>
            </w:pPr>
            <w:r>
              <w:rPr>
                <w:rFonts w:cs="Arial" w:ascii="Arial" w:hAnsi="Arial"/>
              </w:rPr>
              <w:t>Deputy Head of SEND Prevention and Early Intervention</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 xml:space="preserve">A comprehensive understanding of the local &amp; national SEND agenda and the ability to support the planning and the implementation of any SEND reforms.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Applied detailed knowledge of SEND and current national and local legislation in respect of SEND.</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tLeast" w:line="300" w:before="0" w:after="0"/>
              <w:rPr>
                <w:rFonts w:ascii="Arial" w:hAnsi="Arial" w:cs="Arial"/>
              </w:rPr>
            </w:pPr>
            <w:r>
              <w:rPr>
                <w:rFonts w:cs="Arial" w:ascii="Arial" w:hAnsi="Arial"/>
              </w:rPr>
              <w:t xml:space="preserve">Significant experience of implementing the SEND Code of Practice and the graduated approach. </w:t>
            </w:r>
          </w:p>
          <w:p>
            <w:pPr>
              <w:pStyle w:val="Normal"/>
              <w:spacing w:lineRule="atLeast" w:line="300" w:before="0" w:after="0"/>
              <w:rPr>
                <w:rFonts w:ascii="Arial" w:hAnsi="Arial" w:cs="Arial"/>
                <w:color w:val="000000"/>
              </w:rPr>
            </w:pPr>
            <w:r>
              <w:rPr>
                <w:rFonts w:cs="Arial" w:ascii="Arial" w:hAnsi="Arial"/>
                <w:color w:val="000000"/>
              </w:rPr>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tcPr>
          <w:p>
            <w:pPr>
              <w:pStyle w:val="Normal"/>
              <w:spacing w:lineRule="atLeast" w:line="300" w:before="0" w:after="0"/>
              <w:rPr>
                <w:rFonts w:ascii="Arial" w:hAnsi="Arial" w:cs="Arial"/>
              </w:rPr>
            </w:pPr>
            <w:r>
              <w:rPr>
                <w:rFonts w:cs="Arial" w:ascii="Arial" w:hAnsi="Arial"/>
              </w:rPr>
              <w:t xml:space="preserve">Proven skills in supporting schools to strengthen inclusive practice and quality-first teaching. </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Proven skills in leading service improvement and managing organisational change.</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 good track record of developing and delivering strategic plans and improvement programmes.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eastAsia="Arial" w:cs="Arial"/>
                <w:spacing w:val="1"/>
              </w:rPr>
            </w:pPr>
            <w:r>
              <w:rPr>
                <w:rFonts w:eastAsia="Arial" w:cs="Arial" w:ascii="Arial" w:hAnsi="Arial"/>
                <w:spacing w:val="1"/>
              </w:rPr>
              <w:t>Highly developed  inter-personal  skills and the ability to persuade, influence and engage effectively with parents, senior leaders across organisations, elected members, chief officers, trade unions, staff and other partners and government agencies.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eastAsia="Arial" w:cs="Arial"/>
                <w:spacing w:val="1"/>
              </w:rPr>
            </w:pPr>
            <w:r>
              <w:rPr>
                <w:rFonts w:eastAsia="Arial" w:cs="Arial" w:ascii="Arial" w:hAnsi="Arial"/>
                <w:spacing w:val="1"/>
              </w:rPr>
              <w:t>Excellent written and verbal communication skills with the ability to deliver effective presentations and write clear, concise and persuasive reports.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 xml:space="preserve">The ability to work with independence and initiative in order to continuously review early identification work, identify key areas for development and develop and implement robust plans to address these. </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tcBorders>
          </w:tcPr>
          <w:p>
            <w:pPr>
              <w:pStyle w:val="Normal"/>
              <w:spacing w:lineRule="auto" w:line="240" w:before="120" w:after="120"/>
              <w:ind w:right="175"/>
              <w:rPr/>
            </w:pPr>
            <w:r>
              <w:rPr>
                <w:rFonts w:cs="Arial" w:ascii="Arial" w:hAnsi="Arial"/>
                <w:bCs/>
                <w:color w:val="000000"/>
              </w:rPr>
              <w:t>Analytical skills to investigate and interpret complex data sets and intelligence, draw conclusions,</w:t>
            </w:r>
            <w:r>
              <w:rPr>
                <w:rFonts w:cs="Arial" w:ascii="Arial" w:hAnsi="Arial"/>
              </w:rPr>
              <w:t xml:space="preserve"> report findings clearly and succinctly </w:t>
            </w:r>
            <w:r>
              <w:rPr>
                <w:rFonts w:cs="Arial" w:ascii="Arial" w:hAnsi="Arial"/>
                <w:bCs/>
                <w:color w:val="000000"/>
              </w:rPr>
              <w:t>and use this data for the purposes of service planning, improving performance and meeting service objectives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 proven track record of both engaging with, and leading, multi-agency working</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12.</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A high level of resilience.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13.</w:t>
            </w:r>
          </w:p>
        </w:tc>
        <w:tc>
          <w:tcPr>
            <w:tcW w:w="5559" w:type="dxa"/>
            <w:gridSpan w:val="6"/>
            <w:tcBorders>
              <w:bottom w:val="single" w:sz="4" w:space="0" w:color="000000"/>
            </w:tcBorders>
          </w:tcPr>
          <w:p>
            <w:pPr>
              <w:pStyle w:val="Normal"/>
              <w:spacing w:lineRule="auto" w:line="240" w:before="120" w:after="120"/>
              <w:ind w:right="175"/>
              <w:rPr>
                <w:rFonts w:ascii="Arial" w:hAnsi="Arial" w:cs="Arial"/>
                <w:color w:val="000000"/>
              </w:rPr>
            </w:pPr>
            <w:r>
              <w:rPr>
                <w:rFonts w:cs="Arial" w:ascii="Arial" w:hAnsi="Arial"/>
                <w:color w:val="000000"/>
              </w:rPr>
              <w:t>To be computer literate and be able to administer and develop effective systems of work across the service, including electronic systems.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Proven organisational skills and the ability to prioritise workloads both for yourself and others.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Qualified Teacher Status (QTS) or equivalent professional qualification.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National Award for SEN Coordination (NASENCO) or significant SEND leadership experience.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Substantial experience of working across multiple sites/a large organisation.</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Substantial experience of working in a multi-agency way.</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may require the job holder to work outside of normal office hours on occasion, for example at evenings and weekends, to meet the needs of the service.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Applicants must hold a full, current and valid driving licence and a vehicle with a current valid MOT certificate. There must also be adequate vehicle insurance cover to comply with the council’s requirements, in line with the Travel Costs Reimbursement Policy</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Posts that are designated as Information Asset Owners will  be expected to lead and foster a culture that values, protects and uses information for the public good.  They must know what information the asset holds, what enters and leaves it and why,  being responsible for maintaining this overview within the Councils Information Asset Register. The IAO will also need to know who has access and why and ensure their use of the asset is monitored and used for service delivery and performance management, understand and address risks to the asset and provide assurance to the SIRO/ DSIRO. Ultimately, the IAO must ensure the asset is fully used for the public good, including responding to access requests, audits and transparency /open data requests.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 a standard]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rPr>
            </w:pPr>
            <w:r>
              <w:rPr>
                <w:rFonts w:cs="Arial" w:ascii="Arial" w:hAnsi="Arial"/>
              </w:rPr>
              <w:t>Recognised SEND qualifications</w:t>
            </w:r>
          </w:p>
        </w:tc>
        <w:tc>
          <w:tcPr>
            <w:tcW w:w="3423"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 / Proof of qualification</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tc>
        <w:tc>
          <w:tcPr>
            <w:tcW w:w="3816"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July 2026</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3"/>
            <w:tcBorders/>
          </w:tcPr>
          <w:p>
            <w:pPr>
              <w:pStyle w:val="Normal"/>
              <w:spacing w:lineRule="auto" w:line="240" w:before="0" w:after="0"/>
              <w:rPr>
                <w:rFonts w:ascii="Arial" w:hAnsi="Arial" w:cs="Arial"/>
                <w:b/>
              </w:rPr>
            </w:pPr>
            <w:r>
              <w:rPr>
                <w:rFonts w:cs="Arial" w:ascii="Arial" w:hAnsi="Arial"/>
                <w:b/>
              </w:rPr>
              <w:t>Sue Cornwell/Head of Service Children with SEN</w:t>
            </w:r>
          </w:p>
        </w:tc>
      </w:tr>
    </w:tbl>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r>
    </w:p>
    <w:p>
      <w:pPr>
        <w:pStyle w:val="Normal"/>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rPr>
          <w:rFonts w:ascii="Arial" w:hAnsi="Arial" w:cs="Arial"/>
          <w:b/>
        </w:rPr>
      </w:pPr>
      <w:r>
        <w:rPr>
          <w:rFonts w:cs="Arial" w:ascii="Arial" w:hAnsi="Arial"/>
          <w:b/>
        </w:rPr>
      </w:r>
    </w:p>
    <w:p>
      <w:pPr>
        <w:pStyle w:val="Normal"/>
        <w:keepLines/>
        <w:rPr>
          <w:rFonts w:ascii="Arial" w:hAnsi="Arial" w:cs="Arial"/>
          <w:b/>
        </w:rPr>
      </w:pPr>
      <w:r>
        <w:rPr>
          <w:rFonts w:cs="Arial" w:ascii="Arial" w:hAnsi="Arial"/>
          <w:b/>
        </w:rPr>
        <w:t>Developing Self &amp; Others</w:t>
      </w:r>
    </w:p>
    <w:p>
      <w:pPr>
        <w:pStyle w:val="Normal"/>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t>Civil Contingencies</w:t>
      </w:r>
    </w:p>
    <w:p>
      <w:pPr>
        <w:pStyle w:val="Normal"/>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ind w:left="1069" w:right="0"/>
        <w:rPr>
          <w:rFonts w:ascii="Arial" w:hAnsi="Arial" w:cs="Arial"/>
        </w:rPr>
      </w:pPr>
      <w:r>
        <w:rPr>
          <w:rFonts w:cs="Arial" w:ascii="Arial" w:hAnsi="Arial"/>
        </w:rPr>
      </w:r>
    </w:p>
    <w:p>
      <w:pPr>
        <w:pStyle w:val="Normal"/>
        <w:keepLines/>
        <w:rPr>
          <w:rFonts w:ascii="Arial" w:hAnsi="Arial" w:cs="Arial"/>
          <w:b/>
        </w:rPr>
      </w:pPr>
      <w:r>
        <w:rPr>
          <w:rFonts w:cs="Arial" w:ascii="Arial" w:hAnsi="Arial"/>
          <w:b/>
        </w:rPr>
        <w:t>Equality &amp; Diversity</w:t>
      </w:r>
    </w:p>
    <w:p>
      <w:pPr>
        <w:pStyle w:val="Normal"/>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rPr>
          <w:rFonts w:ascii="Arial" w:hAnsi="Arial" w:cs="Arial"/>
        </w:rPr>
      </w:pPr>
      <w:r>
        <w:rPr>
          <w:rFonts w:cs="Arial" w:ascii="Arial" w:hAnsi="Arial"/>
        </w:rPr>
      </w:r>
    </w:p>
    <w:p>
      <w:pPr>
        <w:pStyle w:val="Normal"/>
        <w:keepLines/>
        <w:rPr>
          <w:rFonts w:ascii="Arial" w:hAnsi="Arial" w:cs="Arial"/>
          <w:b/>
        </w:rPr>
      </w:pPr>
      <w:r>
        <w:rPr>
          <w:rFonts w:cs="Arial" w:ascii="Arial" w:hAnsi="Arial"/>
          <w:b/>
        </w:rPr>
        <w:t>Customer Care</w:t>
      </w:r>
    </w:p>
    <w:p>
      <w:pPr>
        <w:pStyle w:val="Normal"/>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rPr>
          <w:rFonts w:ascii="Arial" w:hAnsi="Arial" w:cs="Arial"/>
          <w:color w:val="0000FF"/>
          <w:u w:val="single"/>
        </w:rPr>
      </w:pPr>
      <w:r>
        <w:rPr>
          <w:rFonts w:cs="Arial" w:ascii="Arial" w:hAnsi="Arial"/>
          <w:color w:val="0000FF"/>
          <w:u w:val="single"/>
        </w:rPr>
      </w:r>
    </w:p>
    <w:p>
      <w:pPr>
        <w:pStyle w:val="Normal"/>
        <w:keepLines/>
        <w:rPr>
          <w:rFonts w:ascii="Arial" w:hAnsi="Arial" w:cs="Arial"/>
          <w:b/>
        </w:rPr>
      </w:pPr>
      <w:r>
        <w:rPr>
          <w:rFonts w:cs="Arial" w:ascii="Arial" w:hAnsi="Arial"/>
          <w:b/>
        </w:rPr>
        <w:t>Health &amp; Safety</w:t>
      </w:r>
    </w:p>
    <w:p>
      <w:pPr>
        <w:pStyle w:val="Normal"/>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rPr>
          <w:rFonts w:ascii="Arial" w:hAnsi="Arial" w:cs="Arial"/>
        </w:rPr>
      </w:pPr>
      <w:r>
        <w:rPr>
          <w:rFonts w:cs="Arial" w:ascii="Arial" w:hAnsi="Arial"/>
        </w:rPr>
      </w:r>
    </w:p>
    <w:p>
      <w:pPr>
        <w:pStyle w:val="Normal"/>
        <w:rPr>
          <w:rFonts w:ascii="Arial" w:hAnsi="Arial" w:cs="Arial"/>
          <w:b/>
          <w:bCs/>
        </w:rPr>
      </w:pPr>
      <w:r>
        <w:rPr>
          <w:rFonts w:cs="Arial" w:ascii="Arial" w:hAnsi="Arial"/>
          <w:b/>
          <w:bCs/>
        </w:rPr>
        <w:t>Data Protection and Confidentiality</w:t>
      </w:r>
    </w:p>
    <w:p>
      <w:pPr>
        <w:pStyle w:val="Normal"/>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rPr>
          <w:rFonts w:ascii="Arial" w:hAnsi="Arial" w:cs="Arial"/>
        </w:rPr>
      </w:pPr>
      <w:r>
        <w:rPr>
          <w:rFonts w:cs="Arial" w:ascii="Arial" w:hAnsi="Arial"/>
        </w:rPr>
      </w:r>
    </w:p>
    <w:p>
      <w:pPr>
        <w:pStyle w:val="Normal"/>
        <w:rPr>
          <w:rFonts w:ascii="Arial" w:hAnsi="Arial" w:cs="Arial"/>
          <w:b/>
          <w:lang w:val="en-US"/>
        </w:rPr>
      </w:pPr>
      <w:r>
        <w:rPr>
          <w:rFonts w:cs="Arial" w:ascii="Arial" w:hAnsi="Arial"/>
          <w:b/>
          <w:lang w:val="en-US"/>
        </w:rPr>
        <w:t>Fluency Duty</w:t>
      </w:r>
    </w:p>
    <w:p>
      <w:pPr>
        <w:pStyle w:val="Normal"/>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rPr>
          <w:rFonts w:ascii="Arial" w:hAnsi="Arial" w:cs="Arial"/>
          <w:lang w:val="en-US"/>
        </w:rPr>
      </w:pPr>
      <w:r>
        <w:rPr>
          <w:rFonts w:cs="Arial" w:ascii="Arial" w:hAnsi="Arial"/>
          <w:lang w:val="en-US"/>
        </w:rPr>
      </w:r>
    </w:p>
    <w:p>
      <w:pPr>
        <w:pStyle w:val="Normal"/>
        <w:rPr>
          <w:rFonts w:ascii="Arial" w:hAnsi="Arial" w:cs="Arial"/>
          <w:b/>
        </w:rPr>
      </w:pPr>
      <w:r>
        <w:rPr>
          <w:rFonts w:cs="Arial" w:ascii="Arial" w:hAnsi="Arial"/>
          <w:b/>
        </w:rPr>
        <w:t>Working Hours</w:t>
      </w:r>
    </w:p>
    <w:p>
      <w:pPr>
        <w:pStyle w:val="Normal"/>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rPr>
          <w:rFonts w:ascii="Arial" w:hAnsi="Arial" w:cs="Arial"/>
        </w:rPr>
      </w:pPr>
      <w:r>
        <w:rPr>
          <w:rFonts w:cs="Arial" w:ascii="Arial" w:hAnsi="Arial"/>
        </w:rPr>
      </w:r>
    </w:p>
    <w:p>
      <w:pPr>
        <w:pStyle w:val="Normal"/>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GB"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cs="Arial"/>
      <w:sz w:val="22"/>
      <w:szCs w:val="22"/>
      <w:lang w:eastAsia="en-U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rFonts w:ascii="Calibri" w:hAnsi="Calibri" w:eastAsia="Calibri" w:cs=""/>
      <w:sz w:val="22"/>
      <w:szCs w:val="22"/>
      <w:lang w:eastAsia="en-US"/>
    </w:rPr>
  </w:style>
  <w:style w:type="paragraph" w:styleId="Footer">
    <w:name w:val="Footer"/>
    <w:basedOn w:val="Normal"/>
    <w:pPr>
      <w:tabs>
        <w:tab w:val="clear" w:pos="720"/>
        <w:tab w:val="center" w:pos="4513" w:leader="none"/>
        <w:tab w:val="right" w:pos="9026" w:leader="none"/>
      </w:tabs>
    </w:pPr>
    <w:rPr>
      <w:rFonts w:ascii="Calibri" w:hAnsi="Calibri" w:eastAsia="Calibri" w:cs=""/>
      <w:sz w:val="22"/>
      <w:szCs w:val="22"/>
      <w:lang w:eastAsia="en-US"/>
    </w:rPr>
  </w:style>
  <w:style w:type="paragraph" w:styleId="annotationtext">
    <w:name w:val="annotation text"/>
    <w:basedOn w:val="Normal"/>
    <w:qFormat/>
    <w:pPr>
      <w:spacing w:before="0" w:after="200"/>
    </w:pPr>
    <w:rPr>
      <w:rFonts w:ascii="Calibri" w:hAnsi="Calibri" w:eastAsia="Calibri" w:cs=""/>
      <w:sz w:val="20"/>
      <w:szCs w:val="20"/>
      <w:lang w:eastAsia="en-US"/>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