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spacing w:lineRule="atLeast" w:line="360"/>
        <w:jc w:val="center"/>
        <w:rPr>
          <w:rFonts w:eastAsia="Times New Roman" w:cs="Arial"/>
          <w:b/>
          <w:b/>
          <w:color w:val="000000"/>
          <w:u w:val="single"/>
          <w:lang w:eastAsia="en-GB"/>
        </w:rPr>
      </w:pPr>
      <w:r>
        <w:rPr/>
        <w:drawing>
          <wp:inline distT="0" distB="0" distL="0" distR="0">
            <wp:extent cx="1112520" cy="10737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4" r="-32" b="-34"/>
                    <a:stretch>
                      <a:fillRect/>
                    </a:stretch>
                  </pic:blipFill>
                  <pic:spPr bwMode="auto">
                    <a:xfrm>
                      <a:off x="0" y="0"/>
                      <a:ext cx="1112520" cy="1073785"/>
                    </a:xfrm>
                    <a:prstGeom prst="rect">
                      <a:avLst/>
                    </a:prstGeom>
                  </pic:spPr>
                </pic:pic>
              </a:graphicData>
            </a:graphic>
          </wp:inline>
        </w:drawing>
      </w:r>
    </w:p>
    <w:p>
      <w:pPr>
        <w:pStyle w:val="Normal"/>
        <w:shd w:fill="FFFFFF" w:val="clear"/>
        <w:spacing w:lineRule="atLeast" w:line="360"/>
        <w:jc w:val="center"/>
        <w:rPr>
          <w:rFonts w:eastAsia="Times New Roman" w:cs="Arial"/>
          <w:b/>
          <w:b/>
          <w:color w:val="000000"/>
          <w:u w:val="single"/>
          <w:lang w:eastAsia="en-GB"/>
        </w:rPr>
      </w:pPr>
      <w:r>
        <w:rPr>
          <w:rFonts w:eastAsia="Times New Roman" w:cs="Arial"/>
          <w:b/>
          <w:color w:val="000000"/>
          <w:u w:val="single"/>
          <w:lang w:eastAsia="en-GB"/>
        </w:rPr>
        <w:t xml:space="preserve">EQUALITY ACT 2010 </w:t>
      </w:r>
    </w:p>
    <w:p>
      <w:pPr>
        <w:pStyle w:val="Normal"/>
        <w:shd w:fill="FFFFFF" w:val="clear"/>
        <w:spacing w:lineRule="atLeast" w:line="360"/>
        <w:jc w:val="center"/>
        <w:rPr>
          <w:rFonts w:eastAsia="Times New Roman" w:cs="Arial"/>
          <w:b/>
          <w:b/>
          <w:color w:val="000000"/>
          <w:u w:val="single"/>
          <w:lang w:eastAsia="en-GB"/>
        </w:rPr>
      </w:pPr>
      <w:r>
        <w:rPr>
          <w:rFonts w:eastAsia="Times New Roman" w:cs="Arial"/>
          <w:b/>
          <w:color w:val="000000"/>
          <w:u w:val="single"/>
          <w:lang w:eastAsia="en-GB"/>
        </w:rPr>
        <w:t>REASONABLE ADJUSTMENTS STATEMENT</w:t>
      </w:r>
    </w:p>
    <w:p>
      <w:pPr>
        <w:pStyle w:val="Normal"/>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pPr>
        <w:pStyle w:val="Normal"/>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  Our duty to make reasonable adjustments only applies where we know about, or ought reasonably to know about, your disability so it is important that you provide this information to us (details for the relevant person to contact will be provided in your Invitation to Interview Letter).  </w:t>
      </w:r>
    </w:p>
    <w:p>
      <w:pPr>
        <w:pStyle w:val="Normal"/>
        <w:shd w:fill="FFFFFF" w:val="clear"/>
        <w:spacing w:lineRule="auto" w:line="240"/>
        <w:jc w:val="both"/>
        <w:rPr>
          <w:rFonts w:eastAsia="Times New Roman" w:cs="Arial"/>
          <w:color w:val="000000"/>
          <w:lang w:eastAsia="en-GB"/>
        </w:rPr>
      </w:pPr>
      <w:r>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Modification to Documentation – this may include providing documents in large print, in Braille format or in audio format and/or providing oral instruction on documentation for those applicants with a learning disability;</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a Reader for a visually impaired applicant;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Provision of Auxiliary Aids – for example, a person to guide a visually impaired applicant around the interview venue;       </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a Sign Language Interpreter for an applicant with a hearing impairment;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Where interviews are being conducted by telephone, provision for interview by textphone for an applicant with a hearing impairment;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Provision of vehicle parking as proximate to the interview venue as reasonably practicable for an applicant with a mobility impairment;</w:t>
      </w:r>
    </w:p>
    <w:p>
      <w:pPr>
        <w:pStyle w:val="ListParagraph"/>
        <w:numPr>
          <w:ilvl w:val="0"/>
          <w:numId w:val="1"/>
        </w:numPr>
        <w:shd w:fill="FFFFFF" w:val="clear"/>
        <w:spacing w:lineRule="auto" w:line="240"/>
        <w:jc w:val="both"/>
        <w:rPr>
          <w:rFonts w:eastAsia="Times New Roman" w:cs="Arial"/>
          <w:color w:val="000000"/>
          <w:lang w:eastAsia="en-GB"/>
        </w:rPr>
      </w:pPr>
      <w:r>
        <w:rPr>
          <w:rFonts w:eastAsia="Times New Roman" w:cs="Arial"/>
          <w:color w:val="000000"/>
          <w:lang w:eastAsia="en-GB"/>
        </w:rPr>
        <w:t xml:space="preserve">Modification of interview premises – for example, in order to ensure that an applicant who uses a wheelchair can gain access to the building where the interview is being held, the school / academy / college may consider using ramps, holding interviews on the ground floor (if there is no adequate lift), considering the placement of furniture and rearranging if necessary etc. </w:t>
      </w:r>
    </w:p>
    <w:p>
      <w:pPr>
        <w:pStyle w:val="ListParagraph"/>
        <w:shd w:fill="FFFFFF" w:val="clear"/>
        <w:spacing w:lineRule="auto" w:line="240"/>
        <w:ind w:left="1020" w:right="0" w:hanging="0"/>
        <w:jc w:val="both"/>
        <w:rPr>
          <w:rFonts w:eastAsia="Times New Roman" w:cs="Arial"/>
        </w:rPr>
      </w:pPr>
      <w:r>
        <w:rPr>
          <w:rFonts w:eastAsia="Calibri" w:cs="Calibri"/>
          <w:color w:val="000000"/>
          <w:lang w:eastAsia="en-GB"/>
        </w:rPr>
        <w:t xml:space="preserve"> </w:t>
      </w:r>
    </w:p>
    <w:p>
      <w:pPr>
        <w:pStyle w:val="Normal"/>
        <w:spacing w:lineRule="auto" w:line="240" w:before="0" w:after="200"/>
        <w:jc w:val="both"/>
        <w:rPr/>
      </w:pPr>
      <w:r>
        <w:rPr/>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Equality Act 2010 Model Reasonable Adjustments Statement – Recruitment – Version 2 – March 2013 – updated April 2019</w:t>
    </w:r>
  </w:p>
  <w:p>
    <w:pPr>
      <w:pStyle w:val="Footer"/>
      <w:rPr>
        <w:sz w:val="18"/>
        <w:szCs w:val="18"/>
      </w:rPr>
    </w:pPr>
    <w:r>
      <w:rPr>
        <w:sz w:val="18"/>
        <w:szCs w:val="18"/>
      </w:rPr>
      <w:t xml:space="preserve">THE CATHOLIC EDUCATION SERVICE ©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1</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Strong">
    <w:name w:val="Strong"/>
    <w:qFormat/>
    <w:rPr>
      <w:b/>
      <w:bC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lineRule="atLeast" w:line="360" w:before="0" w:after="1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2026-01-29T13:12:00Z</dcterms:created>
  <dc:creator>Cassandra Hurley</dc:creator>
  <dc:description/>
  <dc:language>en-US</dc:language>
  <cp:lastModifiedBy>Jeanette Daniels</cp:lastModifiedBy>
  <cp:lastPrinted>1995-11-21T17:41:00Z</cp:lastPrinted>
  <dcterms:modified xsi:type="dcterms:W3CDTF">2026-01-29T13:12:00Z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1577700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