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CHILDREN’S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Local Authority Designated Officer (LADO)</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The LADO responds promptly, effectively and confidentially to allegations and concerns from all organisations offering a service to children, ensuring high standards of professionals practice consistent with legislation and statutory guidance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The LADO also has a key role in challenging and supporting agencies to take appropriate and timely steps to safeguard children from neglect and abuse by professionals, volunteers and those in public office who have direct contact with or responsibility for children.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Head of Service – Conferencing, Reviewing and Partnership</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cs="Arial"/>
              </w:rPr>
            </w:pPr>
            <w:r>
              <w:rPr>
                <w:rFonts w:cs="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p>
      <w:pPr>
        <w:pStyle w:val="Normal"/>
        <w:spacing w:lineRule="auto" w:line="240" w:before="0" w:after="120"/>
        <w:rPr>
          <w:rFonts w:ascii="Arial" w:hAnsi="Arial" w:cs="Arial"/>
          <w:bCs/>
        </w:rPr>
      </w:pPr>
      <w:r>
        <w:rPr>
          <w:rFonts w:cs="Arial" w:ascii="Arial" w:hAnsi="Arial"/>
          <w:bCs/>
        </w:rPr>
        <w:t xml:space="preserve">You will be the first point of contact for all allegations made against people who work and volunteer with children and young people and will provide guidance and advice on the most appropriate action in consultation with the employer. </w:t>
      </w:r>
    </w:p>
    <w:p>
      <w:pPr>
        <w:pStyle w:val="Normal"/>
        <w:spacing w:lineRule="auto" w:line="240" w:before="0" w:after="120"/>
        <w:rPr>
          <w:rFonts w:ascii="Arial" w:hAnsi="Arial" w:cs="Arial"/>
          <w:bCs/>
        </w:rPr>
      </w:pPr>
      <w:r>
        <w:rPr>
          <w:rFonts w:cs="Arial" w:ascii="Arial" w:hAnsi="Arial"/>
          <w:bCs/>
        </w:rPr>
        <w:t xml:space="preserve">This role involves collaborating with police, children's social care. employers and other professionals. It is important to note the LADO does not conduct investigations directly, but rather oversees and guides them to ensure thoroughness, timeliness, and fairness. </w:t>
      </w:r>
    </w:p>
    <w:p>
      <w:pPr>
        <w:pStyle w:val="Normal"/>
        <w:spacing w:lineRule="auto" w:line="240" w:before="0" w:after="120"/>
        <w:rPr>
          <w:rFonts w:ascii="Arial" w:hAnsi="Arial" w:cs="Arial"/>
          <w:b/>
          <w:b/>
        </w:rPr>
      </w:pPr>
      <w:r>
        <w:rPr>
          <w:rFonts w:cs="Arial" w:ascii="Arial" w:hAnsi="Arial"/>
          <w:b/>
        </w:rPr>
      </w:r>
    </w:p>
    <w:tbl>
      <w:tblPr>
        <w:tblW w:w="8834" w:type="dxa"/>
        <w:jc w:val="left"/>
        <w:tblInd w:w="0" w:type="dxa"/>
        <w:tblCellMar>
          <w:top w:w="0" w:type="dxa"/>
          <w:left w:w="108" w:type="dxa"/>
          <w:bottom w:w="0" w:type="dxa"/>
          <w:right w:w="108" w:type="dxa"/>
        </w:tblCellMar>
      </w:tblPr>
      <w:tblGrid>
        <w:gridCol w:w="8834"/>
      </w:tblGrid>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To fulfil the statutory functions of a Designated Officer in accordance with the national guidance and council procedures.</w:t>
            </w:r>
          </w:p>
        </w:tc>
      </w:tr>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To utilise knowledge to provide advice and guidance across all organisations and assist in applying threshold for LADO involvement.</w:t>
            </w:r>
          </w:p>
        </w:tc>
      </w:tr>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To lead, chair and facilitate meetings as appropriate and advise and participate in S47 investigations where appropriate.</w:t>
            </w:r>
          </w:p>
          <w:p>
            <w:pPr>
              <w:pStyle w:val="ListParagraph"/>
              <w:spacing w:lineRule="auto" w:line="240" w:before="120" w:after="0"/>
              <w:contextualSpacing/>
              <w:rPr>
                <w:rFonts w:cs="Arial"/>
                <w:bCs/>
              </w:rPr>
            </w:pPr>
            <w:r>
              <w:rPr>
                <w:rFonts w:cs="Arial"/>
                <w:bCs/>
              </w:rPr>
            </w:r>
          </w:p>
          <w:p>
            <w:pPr>
              <w:pStyle w:val="ListParagraph"/>
              <w:numPr>
                <w:ilvl w:val="0"/>
                <w:numId w:val="1"/>
              </w:numPr>
              <w:spacing w:lineRule="auto" w:line="240" w:before="120" w:after="0"/>
              <w:contextualSpacing/>
              <w:rPr>
                <w:sz w:val="23"/>
                <w:szCs w:val="23"/>
              </w:rPr>
            </w:pPr>
            <w:r>
              <w:rPr>
                <w:sz w:val="23"/>
                <w:szCs w:val="23"/>
              </w:rPr>
              <w:t xml:space="preserve">To maintain clear records, including actions agreed and taken as a result of consultations and strategy meetings and the outcomes. </w:t>
            </w:r>
          </w:p>
          <w:p>
            <w:pPr>
              <w:pStyle w:val="ListParagraph"/>
              <w:numPr>
                <w:ilvl w:val="0"/>
                <w:numId w:val="1"/>
              </w:numPr>
              <w:spacing w:lineRule="auto" w:line="240" w:before="120" w:after="0"/>
              <w:contextualSpacing/>
              <w:rPr>
                <w:rFonts w:cs="Arial"/>
                <w:bCs/>
              </w:rPr>
            </w:pPr>
            <w:r>
              <w:rPr>
                <w:rFonts w:cs="Arial"/>
                <w:bCs/>
              </w:rPr>
              <w:t>To ensure that allegations management processes remain child centred, that the child’s voice is heard and that they are safeguarded.</w:t>
            </w:r>
          </w:p>
        </w:tc>
      </w:tr>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 xml:space="preserve">To manage, present and share information, maintain records and provide reports to evidence activity supporting decisions on individual cases. </w:t>
            </w:r>
          </w:p>
          <w:p>
            <w:pPr>
              <w:pStyle w:val="ListParagraph"/>
              <w:numPr>
                <w:ilvl w:val="0"/>
                <w:numId w:val="1"/>
              </w:numPr>
              <w:spacing w:lineRule="auto" w:line="240" w:before="120" w:after="0"/>
              <w:contextualSpacing/>
              <w:rPr>
                <w:rFonts w:cs="Arial"/>
                <w:bCs/>
              </w:rPr>
            </w:pPr>
            <w:r>
              <w:rPr>
                <w:rFonts w:cs="Arial"/>
                <w:bCs/>
              </w:rPr>
              <w:t xml:space="preserve">To maintain an accurate information database in relation to all allegations, advice given, actions taken and decisions made. </w:t>
            </w:r>
          </w:p>
          <w:p>
            <w:pPr>
              <w:pStyle w:val="ListParagraph"/>
              <w:numPr>
                <w:ilvl w:val="0"/>
                <w:numId w:val="1"/>
              </w:numPr>
              <w:spacing w:lineRule="auto" w:line="240" w:before="120" w:after="0"/>
              <w:contextualSpacing/>
              <w:rPr>
                <w:rFonts w:cs="Arial"/>
                <w:bCs/>
              </w:rPr>
            </w:pPr>
            <w:r>
              <w:rPr>
                <w:rFonts w:cs="Arial"/>
                <w:bCs/>
              </w:rPr>
              <w:t>To manage, monitor and review the progress of allegations management processes to ensure they are dealt with as quickly as possible and consistent with a thorough and fair process.</w:t>
            </w:r>
          </w:p>
        </w:tc>
      </w:tr>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To critically examine activity for trends, themes and performance issues across services and provide evidenced based feedback to support and improve the safety of services.</w:t>
            </w:r>
          </w:p>
        </w:tc>
      </w:tr>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To work within multi-disciplinary and multi-organisational teams, networks and systems.</w:t>
            </w:r>
          </w:p>
          <w:p>
            <w:pPr>
              <w:pStyle w:val="ListParagraph"/>
              <w:numPr>
                <w:ilvl w:val="0"/>
                <w:numId w:val="1"/>
              </w:numPr>
              <w:spacing w:lineRule="auto" w:line="240" w:before="120" w:after="0"/>
              <w:contextualSpacing/>
              <w:rPr/>
            </w:pPr>
            <w:r>
              <w:rPr>
                <w:rFonts w:cs="Arial"/>
                <w:bCs/>
              </w:rPr>
              <w:t xml:space="preserve">To create and provide training and development activities as necessary to ensure up to date knowledge, skills and continuous professional development of staff within the organisation and the wider multi-agency </w:t>
            </w:r>
            <w:commentRangeStart w:id="0"/>
            <w:r>
              <w:rPr>
                <w:rFonts w:cs="Arial"/>
                <w:bCs/>
              </w:rPr>
              <w:t>network</w:t>
            </w:r>
            <w:r>
              <w:rPr>
                <w:rFonts w:cs="Arial"/>
                <w:bCs/>
                <w:vanish w:val="false"/>
              </w:rPr>
            </w:r>
            <w:commentRangeEnd w:id="0"/>
            <w:r>
              <w:commentReference w:id="0"/>
            </w:r>
            <w:r>
              <w:rPr>
                <w:rFonts w:cs="Arial"/>
                <w:bCs/>
              </w:rPr>
              <w:t>.</w:t>
            </w:r>
          </w:p>
        </w:tc>
      </w:tr>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To prepare and complete an Annual Report on activity and be prepared to provide presentation to relevant forums and meetings</w:t>
            </w:r>
          </w:p>
        </w:tc>
      </w:tr>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 xml:space="preserve">To offer critical challenge where necessary to ensure decision making is proportionate and evidenced based. </w:t>
            </w:r>
          </w:p>
        </w:tc>
      </w:tr>
      <w:tr>
        <w:trPr>
          <w:trHeight w:val="506" w:hRule="atLeast"/>
        </w:trPr>
        <w:tc>
          <w:tcPr>
            <w:tcW w:w="8834" w:type="dxa"/>
            <w:tcBorders/>
            <w:shd w:fill="auto" w:val="clear"/>
          </w:tcPr>
          <w:p>
            <w:pPr>
              <w:pStyle w:val="ListParagraph"/>
              <w:numPr>
                <w:ilvl w:val="0"/>
                <w:numId w:val="1"/>
              </w:numPr>
              <w:spacing w:lineRule="auto" w:line="240" w:before="120" w:after="0"/>
              <w:contextualSpacing/>
              <w:rPr>
                <w:rFonts w:cs="Arial"/>
                <w:bCs/>
              </w:rPr>
            </w:pPr>
            <w:r>
              <w:rPr>
                <w:rFonts w:cs="Arial"/>
                <w:bCs/>
              </w:rPr>
              <w:t>To participate and contribute to the Pan Manchester LADO Forum promoting working relationships across authorities and consistency in approach</w:t>
            </w:r>
          </w:p>
        </w:tc>
      </w:tr>
    </w:tbl>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57" w:type="dxa"/>
          <w:left w:w="108" w:type="dxa"/>
          <w:bottom w:w="57" w:type="dxa"/>
          <w:right w:w="108" w:type="dxa"/>
        </w:tblCellMar>
      </w:tblPr>
      <w:tblGrid>
        <w:gridCol w:w="4572"/>
        <w:gridCol w:w="5065"/>
      </w:tblGrid>
      <w:tr>
        <w:trPr/>
        <w:tc>
          <w:tcPr>
            <w:tcW w:w="4572" w:type="dxa"/>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November 2025</w:t>
            </w:r>
          </w:p>
        </w:tc>
      </w:tr>
      <w:tr>
        <w:trPr/>
        <w:tc>
          <w:tcPr>
            <w:tcW w:w="4572"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Nick Libell</w:t>
            </w:r>
          </w:p>
        </w:tc>
      </w:tr>
      <w:tr>
        <w:trPr/>
        <w:tc>
          <w:tcPr>
            <w:tcW w:w="4572"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065"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Children’s Services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before="60" w:after="60"/>
              <w:rPr>
                <w:rFonts w:ascii="Arial" w:hAnsi="Arial" w:cs="Arial"/>
              </w:rPr>
            </w:pPr>
            <w:r>
              <w:rPr>
                <w:rFonts w:cs="Arial" w:ascii="Arial" w:hAnsi="Arial"/>
              </w:rPr>
              <w:t>Local Authority Designated Officer (LADO)</w:t>
            </w:r>
          </w:p>
          <w:p>
            <w:pPr>
              <w:pStyle w:val="Normal"/>
              <w:spacing w:before="60" w:after="60"/>
              <w:rPr>
                <w:rFonts w:ascii="Arial" w:hAnsi="Arial" w:cs="Arial"/>
                <w:b/>
                <w:b/>
                <w:caps/>
              </w:rPr>
            </w:pPr>
            <w:r>
              <w:rPr>
                <w:rFonts w:cs="Arial" w:ascii="Arial" w:hAnsi="Arial"/>
                <w:b/>
                <w:caps/>
              </w:rPr>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develop and manage your own time and resources, and review performance, to meet agreed objectives.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Ability to develop and maintain effective professional credibility and working relationships. </w:t>
            </w:r>
          </w:p>
        </w:tc>
        <w:tc>
          <w:tcPr>
            <w:tcW w:w="3579" w:type="dxa"/>
            <w:tcBorders>
              <w:top w:val="single" w:sz="4" w:space="0" w:color="000000"/>
              <w:bottom w:val="single" w:sz="4" w:space="0" w:color="000000"/>
            </w:tcBorders>
            <w:shd w:fill="auto" w:val="clear"/>
          </w:tcPr>
          <w:p>
            <w:pPr>
              <w:pStyle w:val="Normal"/>
              <w:spacing w:lineRule="auto" w:line="240" w:before="120" w:after="0"/>
              <w:rPr>
                <w:rFonts w:ascii="Arial" w:hAnsi="Arial" w:cs="Arial"/>
              </w:rPr>
            </w:pPr>
            <w:r>
              <w:rPr>
                <w:rFonts w:cs="Arial" w:ascii="Arial" w:hAnsi="Arial"/>
              </w:rPr>
              <w:t>Application/Interview</w:t>
            </w:r>
          </w:p>
          <w:p>
            <w:pPr>
              <w:pStyle w:val="Normal"/>
              <w:spacing w:before="120" w:after="120"/>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Default"/>
              <w:rPr>
                <w:sz w:val="22"/>
                <w:szCs w:val="22"/>
              </w:rPr>
            </w:pPr>
            <w:r>
              <w:rPr>
                <w:sz w:val="22"/>
                <w:szCs w:val="22"/>
              </w:rPr>
              <w:t xml:space="preserve">Ability to provide advice and guidance, ability to challenge poor practice as appropriate and to facilitate sound decision making where there are opposing and conflicting views. </w:t>
            </w:r>
          </w:p>
        </w:tc>
        <w:tc>
          <w:tcPr>
            <w:tcW w:w="3579" w:type="dxa"/>
            <w:tcBorders>
              <w:top w:val="single" w:sz="4" w:space="0" w:color="000000"/>
              <w:bottom w:val="single" w:sz="4" w:space="0" w:color="000000"/>
            </w:tcBorders>
            <w:shd w:fill="auto" w:val="clear"/>
          </w:tcPr>
          <w:p>
            <w:pPr>
              <w:pStyle w:val="Normal"/>
              <w:snapToGrid w:val="false"/>
              <w:spacing w:lineRule="auto" w:line="240" w:before="120" w:after="0"/>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obtain, analyse, maintain, record and store information records and reports to support decision making.</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use, interpret, handle and communicate information appropriately, including preparing reports on complex issues and chairing multi-agency meetings in a range of settings.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 presentation</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of how to manage the allegation process.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a comprehensive knowledge of legislation, guidance and regulation relating to child protection.</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provide direction, motivate and support people to achieve the vision and objectives for your area of responsibility.</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Interview/presentation</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rPr>
              <w:t>Ability to prepare, produce, implement and evaluate plans with others and revise plans to meet changing needs and circumstances</w:t>
            </w:r>
            <w:r>
              <w:rPr>
                <w:rFonts w:cs="Arial" w:ascii="Arial" w:hAnsi="Arial"/>
                <w:color w:val="FF0000"/>
              </w:rPr>
              <w: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communicate effectively to a range of audiences, including both verbally and in writing and including training of others in LADO processes.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 presentation</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prepare for, participate in, and enable others to be involved in, decision making forums.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p>
            <w:pPr>
              <w:pStyle w:val="Normal"/>
              <w:spacing w:before="120" w:after="120"/>
              <w:rPr>
                <w:rFonts w:ascii="Arial" w:hAnsi="Arial" w:cs="Arial"/>
              </w:rPr>
            </w:pPr>
            <w:r>
              <w:rPr>
                <w:rFonts w:cs="Arial" w:ascii="Arial" w:hAnsi="Arial"/>
              </w:rPr>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Have the professional and technical knowledge in respect of child protection and children looked after processes and have a thorough understanding of Human Resource / employment approaches and activity.</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 presentation</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work within the principles and values underpinning professional practice.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identify, monitor and solve customer service problems and take action to avoid and prevent the repetition of problems.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Have a thorough understanding of approaches to ensure the voice of the child and their experience is at the core of planning and intervention.</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Have knowledge of Fostering Minimum Standards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17.</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Social Work Qualification and be registered with Social Work England.</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Computer literate and competent in accessing and understanding different computer reporting portals.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Default"/>
              <w:rPr>
                <w:sz w:val="22"/>
                <w:szCs w:val="22"/>
              </w:rPr>
            </w:pPr>
            <w:r>
              <w:rPr>
                <w:sz w:val="22"/>
                <w:szCs w:val="22"/>
              </w:rPr>
              <w:t xml:space="preserve">Substantial post qualification experience in work with children and families with significant demonstrable experience in a statutory child care agency. </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regarding safeguarding and worked within the field of statutory child protection</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Evidence of having had oversight of investigations, including those into the conduct of senior members of staff and whistleblowing situations, alongside evidenced ability to operate professionally and independently in such circumstances.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nature and demands of the postholder’s time are not always predictable and there will be an expectation that work will be required outside normal hours from time to time.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675"/>
        <w:gridCol w:w="1133"/>
        <w:gridCol w:w="4678"/>
        <w:gridCol w:w="3574"/>
        <w:gridCol w:w="10"/>
      </w:tblGrid>
      <w:tr>
        <w:trPr>
          <w:trHeight w:val="653" w:hRule="atLeast"/>
        </w:trPr>
        <w:tc>
          <w:tcPr>
            <w:tcW w:w="1808"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4"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574"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1007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574"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w:t>
        <w:tab/>
        <w:t>November 2025</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Person Specification prepared by:</w:t>
        <w:tab/>
        <w:tab/>
        <w:tab/>
        <w:t xml:space="preserve">Nick Libell </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Wardle, Sharon" w:date="2025-12-05T12:48:00Z" w:initials="SW">
    <w:p>
      <w:r>
        <w:rPr>
          <w:rFonts w:ascii="Liberation Serif;Times New Roman" w:hAnsi="Liberation Serif;Times New Roman" w:eastAsia="Segoe UI" w:cs="Tahoma"/>
          <w:color w:val="auto"/>
          <w:kern w:val="0"/>
          <w:sz w:val="24"/>
          <w:szCs w:val="24"/>
          <w:lang w:val="en-US" w:eastAsia="en-US" w:bidi="en-US"/>
        </w:rPr>
        <w:t>@HR Corporate this looks like a broader description of original point 9 would it still fit under JEQ scores  BEEN RESOLVED NO ISSUE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2025-12-16T07:36:00Z</dcterms:created>
  <dc:creator>Johnson, Andrew</dc:creator>
  <dc:description/>
  <dc:language>en-US</dc:language>
  <cp:lastModifiedBy>Libell, Nick</cp:lastModifiedBy>
  <cp:lastPrinted>1995-11-21T17:41:00Z</cp:lastPrinted>
  <dcterms:modified xsi:type="dcterms:W3CDTF">2026-01-23T16:13:00Z</dcterms:modified>
  <cp:revision>7</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