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eastAsia="Calibri" w:cs="Calibri"/>
        </w:rPr>
        <w:t xml:space="preserve"> </w:t>
      </w:r>
      <w:r>
        <w:rPr/>
        <w:drawing>
          <wp:inline distT="0" distB="0" distL="0" distR="0">
            <wp:extent cx="2731770" cy="5092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80" r="-15" b="-80"/>
                    <a:stretch>
                      <a:fillRect/>
                    </a:stretch>
                  </pic:blipFill>
                  <pic:spPr bwMode="auto">
                    <a:xfrm>
                      <a:off x="0" y="0"/>
                      <a:ext cx="2731770" cy="509270"/>
                    </a:xfrm>
                    <a:prstGeom prst="rect">
                      <a:avLst/>
                    </a:prstGeom>
                  </pic:spPr>
                </pic:pic>
              </a:graphicData>
            </a:graphic>
          </wp:inline>
        </w:drawing>
      </w:r>
    </w:p>
    <w:tbl>
      <w:tblPr>
        <w:tblW w:w="9637" w:type="dxa"/>
        <w:jc w:val="left"/>
        <w:tblInd w:w="0" w:type="dxa"/>
        <w:tblCellMar>
          <w:top w:w="0" w:type="dxa"/>
          <w:left w:w="108" w:type="dxa"/>
          <w:bottom w:w="0" w:type="dxa"/>
          <w:right w:w="108" w:type="dxa"/>
        </w:tblCellMar>
      </w:tblPr>
      <w:tblGrid>
        <w:gridCol w:w="2619"/>
        <w:gridCol w:w="7018"/>
      </w:tblGrid>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Building Control Officer Career Grade </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G-H</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color w:val="000000"/>
              </w:rPr>
            </w:pPr>
            <w:r>
              <w:rPr>
                <w:rFonts w:cs="Arial" w:ascii="Arial" w:hAnsi="Arial"/>
                <w:color w:val="000000"/>
              </w:rPr>
              <w:t>To deliver a range of building control functions including site inspections, plan checking, assessing developments of building and land against regulations, calculating fees, inspecting dangerous buildings, customer liaison whilst delivering an effective and efficient Building Control Service</w:t>
            </w:r>
          </w:p>
          <w:p>
            <w:pPr>
              <w:pStyle w:val="Normal"/>
              <w:spacing w:lineRule="auto" w:line="240" w:before="0" w:after="0"/>
              <w:rPr>
                <w:rFonts w:ascii="Arial" w:hAnsi="Arial" w:cs="Arial"/>
              </w:rPr>
            </w:pPr>
            <w:r>
              <w:rPr>
                <w:rFonts w:cs="Arial" w:ascii="Arial" w:hAnsi="Arial"/>
              </w:rPr>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color w:val="000000"/>
              </w:rPr>
            </w:pPr>
            <w:r>
              <w:rPr>
                <w:rFonts w:cs="Arial" w:ascii="Arial" w:hAnsi="Arial"/>
                <w:color w:val="000000"/>
              </w:rPr>
              <w:t>Building Control Manager</w:t>
            </w:r>
          </w:p>
        </w:tc>
      </w:tr>
      <w:tr>
        <w:trPr>
          <w:trHeight w:val="506" w:hRule="atLeast"/>
        </w:trPr>
        <w:tc>
          <w:tcPr>
            <w:tcW w:w="2619"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Direct Staffing Reports</w:t>
            </w:r>
          </w:p>
        </w:tc>
        <w:tc>
          <w:tcPr>
            <w:tcW w:w="7018"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color w:val="000000"/>
              </w:rPr>
            </w:pPr>
            <w:r>
              <w:rPr>
                <w:rFonts w:cs="Arial" w:ascii="Arial" w:hAnsi="Arial"/>
                <w:color w:val="000000"/>
              </w:rPr>
              <w:t>None, but the Building Control Manager may delegate responsibility to the candidate as and when required.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 – Grade G</w:t>
      </w:r>
    </w:p>
    <w:tbl>
      <w:tblPr>
        <w:tblW w:w="12333" w:type="dxa"/>
        <w:jc w:val="left"/>
        <w:tblInd w:w="-426" w:type="dxa"/>
        <w:tblCellMar>
          <w:top w:w="0" w:type="dxa"/>
          <w:left w:w="108" w:type="dxa"/>
          <w:bottom w:w="0" w:type="dxa"/>
          <w:right w:w="108" w:type="dxa"/>
        </w:tblCellMar>
      </w:tblPr>
      <w:tblGrid>
        <w:gridCol w:w="568"/>
        <w:gridCol w:w="15"/>
        <w:gridCol w:w="9908"/>
        <w:gridCol w:w="1842"/>
      </w:tblGrid>
      <w:tr>
        <w:trPr>
          <w:trHeight w:val="506" w:hRule="atLeast"/>
        </w:trPr>
        <w:tc>
          <w:tcPr>
            <w:tcW w:w="568" w:type="dxa"/>
            <w:tcBorders/>
            <w:shd w:fill="auto" w:val="clear"/>
          </w:tcPr>
          <w:p>
            <w:pPr>
              <w:pStyle w:val="Normal"/>
              <w:spacing w:lineRule="auto" w:line="240" w:before="0" w:after="200"/>
              <w:contextualSpacing/>
              <w:rPr>
                <w:rFonts w:ascii="Arial" w:hAnsi="Arial" w:cs="Arial"/>
                <w:bCs/>
              </w:rPr>
            </w:pPr>
            <w:r>
              <w:rPr>
                <w:rFonts w:cs="Arial" w:ascii="Arial" w:hAnsi="Arial"/>
                <w:bCs/>
              </w:rPr>
              <w:t>1</w:t>
            </w:r>
          </w:p>
        </w:tc>
        <w:tc>
          <w:tcPr>
            <w:tcW w:w="9923"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t>To support in the discharge of the Council’s liabilities and responsibilities to ensure that related decisions are provided in accordance with all relevant legislation, policy and professional standards and to initiate and maintain full and accurate records in the carrying out of this following: -</w:t>
            </w:r>
          </w:p>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support in ensuring developments of land and property in the Borough comply with all current and emerging Building Regulations and associated legislation as appropriate;</w:t>
            </w:r>
          </w:p>
          <w:p>
            <w:pPr>
              <w:pStyle w:val="Normal"/>
              <w:tabs>
                <w:tab w:val="clear" w:pos="720"/>
                <w:tab w:val="left" w:pos="503" w:leader="none"/>
                <w:tab w:val="left" w:pos="3600" w:leader="none"/>
              </w:tabs>
              <w:spacing w:lineRule="auto" w:line="264" w:before="0" w:after="0"/>
              <w:ind w:left="23"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support in the provision of appropriate advice as necessary regarding Building Regulations and related matters, and associated charges, including professional advice to Council officers; Elected Members and working groups and negotiating with and responding appropriately to stakeholders including applicants, their agents, contractors, developers, builders and the public;</w:t>
            </w:r>
          </w:p>
          <w:p>
            <w:pPr>
              <w:pStyle w:val="Normal"/>
              <w:tabs>
                <w:tab w:val="clear" w:pos="720"/>
                <w:tab w:val="left" w:pos="503"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support in the Assessment and Plan Checking of applications submitted for consideration under the Building Regulations and associated legislation including securing amendments;</w:t>
            </w:r>
          </w:p>
          <w:p>
            <w:pPr>
              <w:pStyle w:val="Normal"/>
              <w:tabs>
                <w:tab w:val="clear" w:pos="720"/>
                <w:tab w:val="left" w:pos="503"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carry out checks, inspections and tests as necessary on site;</w:t>
            </w:r>
          </w:p>
          <w:p>
            <w:pPr>
              <w:pStyle w:val="Normal"/>
              <w:tabs>
                <w:tab w:val="clear" w:pos="720"/>
                <w:tab w:val="left" w:pos="503"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support the surveying of dangerous buildings and structures and supporting casework, if necessary through the courts, to secure the removal of the danger and making safe;</w:t>
            </w:r>
          </w:p>
          <w:p>
            <w:pPr>
              <w:pStyle w:val="Normal"/>
              <w:tabs>
                <w:tab w:val="clear" w:pos="720"/>
                <w:tab w:val="left" w:pos="503"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p>
            <w:pPr>
              <w:pStyle w:val="Normal"/>
              <w:numPr>
                <w:ilvl w:val="0"/>
                <w:numId w:val="1"/>
              </w:numPr>
              <w:tabs>
                <w:tab w:val="clear" w:pos="720"/>
                <w:tab w:val="left" w:pos="503" w:leader="none"/>
                <w:tab w:val="left" w:pos="3600" w:leader="none"/>
              </w:tabs>
              <w:spacing w:lineRule="auto" w:line="264" w:before="0" w:after="0"/>
              <w:ind w:left="503" w:right="1315" w:hanging="480"/>
              <w:rPr>
                <w:rFonts w:ascii="Arial" w:hAnsi="Arial" w:eastAsia="Times New Roman" w:cs="Arial"/>
                <w:color w:val="000000"/>
              </w:rPr>
            </w:pPr>
            <w:r>
              <w:rPr>
                <w:rFonts w:eastAsia="Times New Roman" w:cs="Arial" w:ascii="Arial" w:hAnsi="Arial"/>
                <w:color w:val="000000"/>
              </w:rPr>
              <w:t>To support in the control of demolition of buildings and clearance of sites in accordance with conditions for the demolition fixed by the Council, including supervision of building work related to making good of adjoining premises.</w:t>
            </w:r>
          </w:p>
          <w:p>
            <w:pPr>
              <w:pStyle w:val="Normal"/>
              <w:spacing w:lineRule="auto" w:line="264" w:before="0" w:after="0"/>
              <w:rPr>
                <w:rFonts w:ascii="Arial" w:hAnsi="Arial" w:cs="Arial"/>
                <w:b/>
                <w:b/>
              </w:rPr>
            </w:pPr>
            <w:r>
              <w:rPr>
                <w:rFonts w:cs="Arial" w:ascii="Arial" w:hAnsi="Arial"/>
                <w:b/>
              </w:rPr>
            </w:r>
          </w:p>
        </w:tc>
        <w:tc>
          <w:tcPr>
            <w:tcW w:w="1842"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568" w:type="dxa"/>
            <w:tcBorders/>
            <w:shd w:fill="auto" w:val="clear"/>
          </w:tcPr>
          <w:p>
            <w:pPr>
              <w:pStyle w:val="Normal"/>
              <w:spacing w:lineRule="auto" w:line="240" w:before="0" w:after="200"/>
              <w:contextualSpacing/>
              <w:rPr>
                <w:rFonts w:ascii="Arial" w:hAnsi="Arial" w:cs="Arial"/>
              </w:rPr>
            </w:pPr>
            <w:r>
              <w:rPr>
                <w:rFonts w:cs="Arial" w:ascii="Arial" w:hAnsi="Arial"/>
              </w:rPr>
              <w:t>2</w:t>
            </w:r>
          </w:p>
        </w:tc>
        <w:tc>
          <w:tcPr>
            <w:tcW w:w="9923" w:type="dxa"/>
            <w:gridSpan w:val="2"/>
            <w:tcBorders/>
            <w:shd w:fill="auto" w:val="clear"/>
          </w:tcPr>
          <w:p>
            <w:pPr>
              <w:pStyle w:val="Normal"/>
              <w:spacing w:lineRule="auto" w:line="240" w:before="0" w:after="200"/>
              <w:contextualSpacing/>
              <w:rPr>
                <w:rFonts w:ascii="Arial" w:hAnsi="Arial" w:cs="Arial"/>
              </w:rPr>
            </w:pPr>
            <w:r>
              <w:rPr>
                <w:rFonts w:cs="Arial" w:ascii="Arial" w:hAnsi="Arial"/>
              </w:rPr>
              <w:t>Support the Building Control Team to coordinate invoicing of applications and ensure fees are accordingly paid and where required, work with the council’s Finance Team to ensure that debts are proactively pursued, including the recovery of costs and charges associated with Dangerous Structures and Buildings.</w:t>
            </w:r>
          </w:p>
          <w:p>
            <w:pPr>
              <w:pStyle w:val="Normal"/>
              <w:spacing w:lineRule="auto" w:line="240" w:before="0" w:after="200"/>
              <w:contextualSpacing/>
              <w:rPr>
                <w:rFonts w:ascii="Arial" w:hAnsi="Arial" w:cs="Arial"/>
              </w:rPr>
            </w:pPr>
            <w:r>
              <w:rPr>
                <w:rFonts w:cs="Arial" w:ascii="Arial" w:hAnsi="Arial"/>
              </w:rPr>
            </w:r>
          </w:p>
        </w:tc>
        <w:tc>
          <w:tcPr>
            <w:tcW w:w="1842"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568" w:type="dxa"/>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3</w:t>
            </w:r>
          </w:p>
        </w:tc>
        <w:tc>
          <w:tcPr>
            <w:tcW w:w="9923"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color w:val="000000"/>
              </w:rPr>
            </w:pPr>
            <w:r>
              <w:rPr>
                <w:rFonts w:eastAsia="Times New Roman" w:cs="Arial" w:ascii="Arial" w:hAnsi="Arial"/>
                <w:color w:val="000000"/>
              </w:rPr>
              <w:t>To positively promote, engage, apply and use appropriate ICT hardware and software in the carrying out of the main duties as appropriate and to identify opportunities, to develop and maximise usage within the service of ICT systems, electronic and mobile working and electronic communications including for opportunities to market the service to customers.</w:t>
            </w:r>
          </w:p>
          <w:p>
            <w:pPr>
              <w:pStyle w:val="Normal"/>
              <w:spacing w:lineRule="auto" w:line="240" w:before="0" w:after="0"/>
              <w:rPr>
                <w:rFonts w:ascii="Arial" w:hAnsi="Arial" w:cs="Arial"/>
              </w:rPr>
            </w:pPr>
            <w:r>
              <w:rPr>
                <w:rFonts w:cs="Arial" w:ascii="Arial" w:hAnsi="Arial"/>
              </w:rPr>
            </w:r>
          </w:p>
        </w:tc>
        <w:tc>
          <w:tcPr>
            <w:tcW w:w="1842"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568" w:type="dxa"/>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4</w:t>
            </w:r>
          </w:p>
        </w:tc>
        <w:tc>
          <w:tcPr>
            <w:tcW w:w="9923" w:type="dxa"/>
            <w:gridSpan w:val="2"/>
            <w:tcBorders/>
            <w:shd w:fill="auto" w:val="clear"/>
          </w:tcPr>
          <w:p>
            <w:pPr>
              <w:pStyle w:val="Normal"/>
              <w:spacing w:lineRule="auto" w:line="264" w:before="0" w:after="0"/>
              <w:rPr>
                <w:rFonts w:ascii="Arial" w:hAnsi="Arial" w:cs="Arial"/>
              </w:rPr>
            </w:pPr>
            <w:r>
              <w:rPr>
                <w:rFonts w:cs="Arial" w:ascii="Arial" w:hAnsi="Arial"/>
              </w:rPr>
              <w:t>Respond to and negotiate with customers including complainants, enforcement of regulations and information governance requests.</w:t>
            </w:r>
          </w:p>
          <w:p>
            <w:pPr>
              <w:pStyle w:val="Normal"/>
              <w:spacing w:lineRule="auto" w:line="264" w:before="0" w:after="0"/>
              <w:rPr>
                <w:rFonts w:ascii="Arial" w:hAnsi="Arial" w:cs="Arial"/>
              </w:rPr>
            </w:pPr>
            <w:r>
              <w:rPr>
                <w:rFonts w:cs="Arial" w:ascii="Arial" w:hAnsi="Arial"/>
              </w:rPr>
            </w:r>
          </w:p>
        </w:tc>
        <w:tc>
          <w:tcPr>
            <w:tcW w:w="1842"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568" w:type="dxa"/>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5</w:t>
            </w:r>
          </w:p>
        </w:tc>
        <w:tc>
          <w:tcPr>
            <w:tcW w:w="992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To monitor and adapt processes for the Building Control service to ensure the most efficient and effective methods are being used to record and retrieve information.</w:t>
            </w:r>
          </w:p>
          <w:p>
            <w:pPr>
              <w:pStyle w:val="Normal"/>
              <w:spacing w:lineRule="auto" w:line="264" w:before="0" w:after="0"/>
              <w:rPr>
                <w:rFonts w:ascii="Arial" w:hAnsi="Arial" w:eastAsia="Times New Roman" w:cs="Arial"/>
                <w:color w:val="000000"/>
              </w:rPr>
            </w:pPr>
            <w:r>
              <w:rPr>
                <w:rFonts w:eastAsia="Times New Roman" w:cs="Arial" w:ascii="Arial" w:hAnsi="Arial"/>
                <w:color w:val="000000"/>
              </w:rPr>
            </w:r>
          </w:p>
        </w:tc>
        <w:tc>
          <w:tcPr>
            <w:tcW w:w="1842" w:type="dxa"/>
            <w:tcBorders/>
            <w:shd w:fill="auto" w:val="clear"/>
          </w:tcPr>
          <w:p>
            <w:pPr>
              <w:pStyle w:val="Normal"/>
              <w:snapToGrid w:val="false"/>
              <w:spacing w:lineRule="auto" w:line="240"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568" w:type="dxa"/>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6</w:t>
            </w:r>
          </w:p>
        </w:tc>
        <w:tc>
          <w:tcPr>
            <w:tcW w:w="9923" w:type="dxa"/>
            <w:gridSpan w:val="2"/>
            <w:tcBorders/>
            <w:shd w:fill="auto" w:val="clea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 xml:space="preserve">To effectively contribute to the business planning processes, performance indicators and service improvements, utilising skills to set out their provisions for the service, to meet deadlines and ensure targets are met on short and long term plans. </w:t>
            </w:r>
          </w:p>
          <w:p>
            <w:pPr>
              <w:pStyle w:val="Normal"/>
              <w:spacing w:lineRule="auto" w:line="264" w:before="0" w:after="0"/>
              <w:rPr>
                <w:rFonts w:ascii="Arial" w:hAnsi="Arial" w:eastAsia="Times New Roman" w:cs="Arial"/>
                <w:color w:val="000000"/>
              </w:rPr>
            </w:pPr>
            <w:r>
              <w:rPr>
                <w:rFonts w:eastAsia="Times New Roman" w:cs="Arial" w:ascii="Arial" w:hAnsi="Arial"/>
                <w:color w:val="000000"/>
              </w:rPr>
            </w:r>
          </w:p>
        </w:tc>
        <w:tc>
          <w:tcPr>
            <w:tcW w:w="1842" w:type="dxa"/>
            <w:tcBorders/>
            <w:shd w:fill="auto" w:val="clear"/>
          </w:tcPr>
          <w:p>
            <w:pPr>
              <w:pStyle w:val="Normal"/>
              <w:snapToGrid w:val="false"/>
              <w:spacing w:lineRule="auto" w:line="240" w:before="0" w:after="0"/>
              <w:rPr>
                <w:rFonts w:ascii="Arial" w:hAnsi="Arial" w:eastAsia="Times New Roman" w:cs="Arial"/>
                <w:color w:val="000000"/>
              </w:rPr>
            </w:pPr>
            <w:r>
              <w:rPr>
                <w:rFonts w:eastAsia="Times New Roman" w:cs="Arial" w:ascii="Arial" w:hAnsi="Arial"/>
                <w:color w:val="000000"/>
              </w:rPr>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7</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t>Actively promoting and develop the service to external parties in order to increase the income streams.</w:t>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8</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cs="Arial"/>
                <w:bCs/>
              </w:rPr>
            </w:pPr>
            <w:r>
              <w:rPr>
                <w:rFonts w:cs="Arial" w:ascii="Arial" w:hAnsi="Arial"/>
                <w:bCs/>
              </w:rPr>
              <w:t>Be proactive in developing services and to demonstrate high level of initiative and constructive challenge in carrying out your duties.</w:t>
            </w:r>
          </w:p>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9</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cs="Arial"/>
                <w:bCs/>
              </w:rPr>
            </w:pPr>
            <w:r>
              <w:rPr>
                <w:rFonts w:cs="Arial" w:ascii="Arial" w:hAnsi="Arial"/>
                <w:bCs/>
              </w:rPr>
              <w:t>Completion of special projects as required from time to time using project management techniques to monitor progress and timescales.</w:t>
            </w:r>
          </w:p>
          <w:p>
            <w:pPr>
              <w:pStyle w:val="Normal"/>
              <w:tabs>
                <w:tab w:val="left" w:pos="720" w:leader="none"/>
                <w:tab w:val="left" w:pos="3600" w:leader="none"/>
              </w:tabs>
              <w:spacing w:lineRule="auto" w:line="264" w:before="0" w:after="0"/>
              <w:ind w:left="0" w:right="1315" w:hanging="0"/>
              <w:rPr>
                <w:rFonts w:ascii="Arial" w:hAnsi="Arial" w:cs="Arial"/>
                <w:bCs/>
              </w:rPr>
            </w:pPr>
            <w:r>
              <w:rPr>
                <w:rFonts w:cs="Arial" w:ascii="Arial" w:hAnsi="Arial"/>
                <w:bCs/>
              </w:rPr>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10</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t>To develop effective working relationships with key stakeholders including elected members, staff, customers, government agencies, other local authorities, professional bodies and other service providers.</w:t>
            </w:r>
          </w:p>
          <w:p>
            <w:pPr>
              <w:pStyle w:val="Normal"/>
              <w:tabs>
                <w:tab w:val="left" w:pos="720" w:leader="none"/>
                <w:tab w:val="left" w:pos="3600" w:leader="none"/>
              </w:tabs>
              <w:spacing w:lineRule="auto" w:line="264" w:before="0" w:after="0"/>
              <w:ind w:left="0" w:right="1315" w:hanging="0"/>
              <w:rPr>
                <w:rFonts w:ascii="Arial" w:hAnsi="Arial" w:cs="Arial"/>
                <w:bCs/>
              </w:rPr>
            </w:pPr>
            <w:r>
              <w:rPr>
                <w:rFonts w:cs="Arial" w:ascii="Arial" w:hAnsi="Arial"/>
                <w:bCs/>
              </w:rPr>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11</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t>Represent the Building Control Section at meetings and working groups when they are requested.</w:t>
            </w:r>
          </w:p>
        </w:tc>
      </w:tr>
      <w:tr>
        <w:trPr>
          <w:trHeight w:val="506" w:hRule="atLeast"/>
        </w:trPr>
        <w:tc>
          <w:tcPr>
            <w:tcW w:w="583" w:type="dxa"/>
            <w:gridSpan w:val="2"/>
            <w:tcBorders/>
            <w:shd w:fill="auto" w:val="clear"/>
          </w:tcPr>
          <w:p>
            <w:pPr>
              <w:pStyle w:val="Normal"/>
              <w:spacing w:lineRule="auto" w:line="264" w:before="0" w:after="0"/>
              <w:rPr>
                <w:rFonts w:ascii="Arial" w:hAnsi="Arial" w:eastAsia="Times New Roman" w:cs="Arial"/>
                <w:color w:val="000000"/>
              </w:rPr>
            </w:pPr>
            <w:r>
              <w:rPr>
                <w:rFonts w:eastAsia="Times New Roman" w:cs="Arial" w:ascii="Arial" w:hAnsi="Arial"/>
                <w:color w:val="000000"/>
              </w:rPr>
              <w:t>12</w:t>
            </w:r>
          </w:p>
        </w:tc>
        <w:tc>
          <w:tcPr>
            <w:tcW w:w="11750" w:type="dxa"/>
            <w:gridSpan w:val="2"/>
            <w:tcBorders/>
            <w:shd w:fill="auto" w:val="clear"/>
          </w:tcPr>
          <w:p>
            <w:pPr>
              <w:pStyle w:val="Normal"/>
              <w:tabs>
                <w:tab w:val="left" w:pos="720" w:leader="none"/>
                <w:tab w:val="left" w:pos="3600" w:leader="none"/>
              </w:tabs>
              <w:spacing w:lineRule="auto" w:line="264" w:before="0" w:after="0"/>
              <w:ind w:left="0" w:right="1315" w:hanging="0"/>
              <w:rPr>
                <w:rFonts w:ascii="Arial" w:hAnsi="Arial" w:eastAsia="Times New Roman" w:cs="Arial"/>
                <w:color w:val="000000"/>
              </w:rPr>
            </w:pPr>
            <w:r>
              <w:rPr>
                <w:rFonts w:eastAsia="Times New Roman" w:cs="Arial" w:ascii="Arial" w:hAnsi="Arial"/>
                <w:color w:val="000000"/>
              </w:rPr>
              <w:t>To undertake any other duties as directed by the Building Control Manager.</w:t>
            </w:r>
          </w:p>
        </w:tc>
      </w:tr>
      <w:tr>
        <w:trPr/>
        <w:tc>
          <w:tcPr>
            <w:tcW w:w="10491" w:type="dxa"/>
            <w:gridSpan w:val="3"/>
            <w:tcBorders/>
            <w:shd w:fill="auto" w:val="clear"/>
          </w:tcPr>
          <w:p>
            <w:pPr>
              <w:pStyle w:val="Normal"/>
              <w:spacing w:lineRule="auto" w:line="240" w:before="0" w:after="120"/>
              <w:rPr>
                <w:rFonts w:ascii="Arial" w:hAnsi="Arial" w:cs="Arial"/>
                <w:b/>
                <w:b/>
              </w:rPr>
            </w:pPr>
            <w:r>
              <w:rPr>
                <w:rFonts w:cs="Arial" w:ascii="Arial" w:hAnsi="Arial"/>
                <w:b/>
              </w:rPr>
              <w:t xml:space="preserve">Main Duties - Grade H </w:t>
            </w:r>
          </w:p>
          <w:p>
            <w:pPr>
              <w:pStyle w:val="Normal"/>
              <w:spacing w:lineRule="auto" w:line="240" w:before="0" w:after="120"/>
              <w:rPr>
                <w:rFonts w:ascii="Arial" w:hAnsi="Arial" w:cs="Arial"/>
                <w:b/>
                <w:b/>
                <w:bCs/>
                <w:sz w:val="20"/>
                <w:szCs w:val="20"/>
              </w:rPr>
            </w:pPr>
            <w:r>
              <w:rPr>
                <w:rFonts w:cs="Arial" w:ascii="Arial" w:hAnsi="Arial"/>
                <w:b/>
                <w:bCs/>
                <w:sz w:val="20"/>
                <w:szCs w:val="20"/>
              </w:rPr>
              <w:t>Progression to Grade I is dependent on assessment of ability to undertake all the above in addition to the following duties</w:t>
            </w:r>
          </w:p>
        </w:tc>
        <w:tc>
          <w:tcPr>
            <w:tcW w:w="1842" w:type="dxa"/>
            <w:tcBorders/>
            <w:shd w:fill="auto" w:val="clear"/>
          </w:tcPr>
          <w:p>
            <w:pPr>
              <w:pStyle w:val="Normal"/>
              <w:snapToGrid w:val="false"/>
              <w:spacing w:lineRule="auto" w:line="240" w:before="0" w:after="0"/>
              <w:rPr/>
            </w:pPr>
            <w:r>
              <w:rPr/>
            </w:r>
          </w:p>
        </w:tc>
      </w:tr>
      <w:tr>
        <w:trPr/>
        <w:tc>
          <w:tcPr>
            <w:tcW w:w="10491" w:type="dxa"/>
            <w:gridSpan w:val="3"/>
            <w:tcBorders/>
            <w:shd w:fill="auto" w:val="clear"/>
          </w:tcPr>
          <w:p>
            <w:pPr>
              <w:pStyle w:val="Normal"/>
              <w:spacing w:lineRule="auto" w:line="264" w:before="0" w:after="0"/>
              <w:ind w:left="608" w:right="0" w:hanging="568"/>
              <w:rPr/>
            </w:pPr>
            <w:r>
              <w:rPr>
                <w:rFonts w:eastAsia="Times New Roman" w:cs="Arial" w:ascii="Arial" w:hAnsi="Arial"/>
                <w:color w:val="000000"/>
              </w:rPr>
              <w:t xml:space="preserve">13     To support in the discharge of the Council’s liabilities and responsibilities listed as a-e above, concentrating on those complex and sizable development proposals providing appropriate advice from an increased competency level and detailed knowledge of the </w:t>
            </w:r>
            <w:r>
              <w:rPr>
                <w:rFonts w:cs="Arial" w:ascii="Arial" w:hAnsi="Arial"/>
                <w:color w:val="000000"/>
              </w:rPr>
              <w:t xml:space="preserve">Building Regulations, the </w:t>
            </w:r>
            <w:r>
              <w:rPr>
                <w:rFonts w:eastAsia="Times New Roman" w:cs="Arial" w:ascii="Arial" w:hAnsi="Arial"/>
                <w:color w:val="000000"/>
              </w:rPr>
              <w:t>Building Safety Regime under the Building Safety Act 2022 to ensure that related decisions are provided in accordance with all relevant legislation, policy and professional standards.</w:t>
            </w:r>
          </w:p>
        </w:tc>
        <w:tc>
          <w:tcPr>
            <w:tcW w:w="1842" w:type="dxa"/>
            <w:tcBorders/>
            <w:shd w:fill="auto" w:val="clear"/>
          </w:tcPr>
          <w:p>
            <w:pPr>
              <w:pStyle w:val="Normal"/>
              <w:snapToGrid w:val="false"/>
              <w:spacing w:lineRule="auto" w:line="240" w:before="0" w:after="0"/>
              <w:rPr/>
            </w:pPr>
            <w:r>
              <w:rPr/>
            </w:r>
          </w:p>
        </w:tc>
      </w:tr>
      <w:tr>
        <w:trPr/>
        <w:tc>
          <w:tcPr>
            <w:tcW w:w="10491" w:type="dxa"/>
            <w:gridSpan w:val="3"/>
            <w:tcBorders/>
            <w:shd w:fill="auto" w:val="clear"/>
          </w:tcPr>
          <w:p>
            <w:pPr>
              <w:pStyle w:val="Normal"/>
              <w:spacing w:lineRule="auto" w:line="264" w:before="0" w:after="0"/>
              <w:ind w:left="608" w:right="0" w:hanging="568"/>
              <w:rPr>
                <w:rFonts w:ascii="Arial" w:hAnsi="Arial" w:eastAsia="Times New Roman" w:cs="Arial"/>
                <w:color w:val="000000"/>
              </w:rPr>
            </w:pPr>
            <w:r>
              <w:rPr>
                <w:rFonts w:eastAsia="Times New Roman" w:cs="Arial" w:ascii="Arial" w:hAnsi="Arial"/>
                <w:color w:val="000000"/>
              </w:rPr>
              <w:t xml:space="preserve">14     To take a lead in the management of customers including complainants, information governance requests and those who may be in breach of planning legislation, responding, negotiating and liaising with the more demanding and complex requests.  </w:t>
            </w:r>
          </w:p>
        </w:tc>
        <w:tc>
          <w:tcPr>
            <w:tcW w:w="1842" w:type="dxa"/>
            <w:tcBorders/>
            <w:shd w:fill="auto" w:val="clear"/>
          </w:tcPr>
          <w:p>
            <w:pPr>
              <w:pStyle w:val="Normal"/>
              <w:snapToGrid w:val="false"/>
              <w:spacing w:lineRule="auto" w:line="240" w:before="0" w:after="0"/>
              <w:rPr/>
            </w:pPr>
            <w:r>
              <w:rPr/>
            </w:r>
          </w:p>
        </w:tc>
      </w:tr>
      <w:tr>
        <w:trPr/>
        <w:tc>
          <w:tcPr>
            <w:tcW w:w="10491" w:type="dxa"/>
            <w:gridSpan w:val="3"/>
            <w:tcBorders/>
            <w:shd w:fill="auto" w:val="clear"/>
          </w:tcPr>
          <w:p>
            <w:pPr>
              <w:pStyle w:val="Normal"/>
              <w:spacing w:lineRule="auto" w:line="264" w:before="0" w:after="0"/>
              <w:ind w:left="608" w:right="0" w:hanging="568"/>
              <w:rPr>
                <w:rFonts w:ascii="Arial" w:hAnsi="Arial" w:eastAsia="Times New Roman" w:cs="Arial"/>
                <w:color w:val="000000"/>
              </w:rPr>
            </w:pPr>
            <w:r>
              <w:rPr>
                <w:rFonts w:eastAsia="Times New Roman" w:cs="Arial" w:ascii="Arial" w:hAnsi="Arial"/>
                <w:color w:val="000000"/>
              </w:rPr>
              <w:t xml:space="preserve">15     To train and supervise any work experience placements, graduates or junior team members. </w:t>
            </w:r>
          </w:p>
          <w:p>
            <w:pPr>
              <w:pStyle w:val="Normal"/>
              <w:spacing w:lineRule="auto" w:line="264" w:before="0" w:after="0"/>
              <w:ind w:left="608" w:right="0" w:hanging="568"/>
              <w:rPr>
                <w:rFonts w:ascii="Arial" w:hAnsi="Arial" w:eastAsia="Times New Roman" w:cs="Arial"/>
                <w:color w:val="000000"/>
              </w:rPr>
            </w:pPr>
            <w:r>
              <w:rPr>
                <w:rFonts w:eastAsia="Times New Roman" w:cs="Arial" w:ascii="Arial" w:hAnsi="Arial"/>
                <w:color w:val="000000"/>
              </w:rPr>
            </w:r>
          </w:p>
        </w:tc>
        <w:tc>
          <w:tcPr>
            <w:tcW w:w="1842" w:type="dxa"/>
            <w:tcBorders/>
            <w:shd w:fill="auto" w:val="clear"/>
          </w:tcPr>
          <w:p>
            <w:pPr>
              <w:pStyle w:val="Normal"/>
              <w:snapToGrid w:val="false"/>
              <w:spacing w:lineRule="auto" w:line="240" w:before="0" w:after="0"/>
              <w:rPr>
                <w:rFonts w:ascii="Arial" w:hAnsi="Arial" w:eastAsia="Times New Roman" w:cs="Arial"/>
                <w:color w:val="000000"/>
              </w:rPr>
            </w:pPr>
            <w:r>
              <w:rPr>
                <w:rFonts w:eastAsia="Times New Roman" w:cs="Arial" w:ascii="Arial" w:hAnsi="Arial"/>
                <w:color w:val="000000"/>
              </w:rPr>
            </w:r>
          </w:p>
        </w:tc>
      </w:tr>
      <w:tr>
        <w:trPr/>
        <w:tc>
          <w:tcPr>
            <w:tcW w:w="10491" w:type="dxa"/>
            <w:gridSpan w:val="3"/>
            <w:tcBorders/>
            <w:shd w:fill="auto" w:val="clear"/>
          </w:tcPr>
          <w:p>
            <w:pPr>
              <w:pStyle w:val="Normal"/>
              <w:spacing w:lineRule="auto" w:line="264" w:before="0" w:after="0"/>
              <w:rPr/>
            </w:pPr>
            <w:r>
              <w:rPr>
                <w:rFonts w:eastAsia="Times New Roman" w:cs="Arial" w:ascii="Arial" w:hAnsi="Arial"/>
                <w:b/>
                <w:bCs/>
                <w:color w:val="000000"/>
              </w:rPr>
              <w:t xml:space="preserve">Date Job Description prepared/updated:  </w:t>
            </w:r>
            <w:r>
              <w:rPr>
                <w:rFonts w:eastAsia="Times New Roman" w:cs="Arial" w:ascii="Arial" w:hAnsi="Arial"/>
                <w:color w:val="000000"/>
              </w:rPr>
              <w:t>April 2024</w:t>
            </w:r>
          </w:p>
        </w:tc>
        <w:tc>
          <w:tcPr>
            <w:tcW w:w="1842" w:type="dxa"/>
            <w:tcBorders/>
            <w:shd w:fill="auto" w:val="clear"/>
          </w:tcPr>
          <w:p>
            <w:pPr>
              <w:pStyle w:val="Normal"/>
              <w:snapToGrid w:val="false"/>
              <w:spacing w:lineRule="auto" w:line="240" w:before="0" w:after="0"/>
              <w:rPr/>
            </w:pPr>
            <w:r>
              <w:rPr/>
            </w:r>
          </w:p>
        </w:tc>
      </w:tr>
      <w:tr>
        <w:trPr/>
        <w:tc>
          <w:tcPr>
            <w:tcW w:w="10491" w:type="dxa"/>
            <w:gridSpan w:val="3"/>
            <w:tcBorders/>
            <w:shd w:fill="auto" w:val="clear"/>
          </w:tcPr>
          <w:p>
            <w:pPr>
              <w:pStyle w:val="Normal"/>
              <w:spacing w:lineRule="auto" w:line="264" w:before="0" w:after="0"/>
              <w:rPr/>
            </w:pPr>
            <w:r>
              <w:rPr>
                <w:rFonts w:eastAsia="Times New Roman" w:cs="Arial" w:ascii="Arial" w:hAnsi="Arial"/>
                <w:b/>
                <w:bCs/>
                <w:color w:val="000000"/>
              </w:rPr>
              <w:t>Job Description Prepared by</w:t>
            </w:r>
            <w:r>
              <w:rPr>
                <w:rFonts w:eastAsia="Times New Roman" w:cs="Arial" w:ascii="Arial" w:hAnsi="Arial"/>
                <w:color w:val="000000"/>
              </w:rPr>
              <w:t xml:space="preserve">:                     Interim Head of Service </w:t>
            </w:r>
          </w:p>
          <w:p>
            <w:pPr>
              <w:pStyle w:val="Normal"/>
              <w:spacing w:lineRule="auto" w:line="264" w:before="0" w:after="0"/>
              <w:rPr>
                <w:rFonts w:ascii="Arial" w:hAnsi="Arial" w:eastAsia="Times New Roman" w:cs="Arial"/>
                <w:b/>
                <w:b/>
                <w:bCs/>
                <w:color w:val="000000"/>
              </w:rPr>
            </w:pPr>
            <w:r>
              <w:rPr>
                <w:rFonts w:eastAsia="Times New Roman" w:cs="Arial" w:ascii="Arial" w:hAnsi="Arial"/>
                <w:b/>
                <w:bCs/>
                <w:color w:val="000000"/>
              </w:rPr>
            </w:r>
          </w:p>
        </w:tc>
        <w:tc>
          <w:tcPr>
            <w:tcW w:w="1842" w:type="dxa"/>
            <w:tcBorders/>
            <w:shd w:fill="auto" w:val="clear"/>
          </w:tcPr>
          <w:p>
            <w:pPr>
              <w:pStyle w:val="Normal"/>
              <w:snapToGrid w:val="false"/>
              <w:spacing w:lineRule="auto" w:line="240" w:before="0" w:after="0"/>
              <w:rPr>
                <w:rFonts w:ascii="Arial" w:hAnsi="Arial" w:eastAsia="Times New Roman" w:cs="Arial"/>
                <w:b/>
                <w:b/>
                <w:bCs/>
                <w:color w:val="000000"/>
              </w:rPr>
            </w:pPr>
            <w:r>
              <w:rPr>
                <w:rFonts w:eastAsia="Times New Roman" w:cs="Arial" w:ascii="Arial" w:hAnsi="Arial"/>
                <w:b/>
                <w:bCs/>
                <w:color w:val="000000"/>
              </w:rPr>
            </w:r>
          </w:p>
        </w:tc>
      </w:tr>
    </w:tbl>
    <w:p>
      <w:pPr>
        <w:pStyle w:val="Normal"/>
        <w:rPr>
          <w:b/>
          <w:b/>
          <w:bCs/>
          <w:sz w:val="40"/>
          <w:szCs w:val="40"/>
        </w:rPr>
      </w:pPr>
      <w:r>
        <w:rPr>
          <w:b/>
          <w:bCs/>
          <w:sz w:val="40"/>
          <w:szCs w:val="40"/>
        </w:rPr>
        <w:t>Person Specification</w:t>
      </w:r>
    </w:p>
    <w:tbl>
      <w:tblPr>
        <w:tblW w:w="9882" w:type="dxa"/>
        <w:jc w:val="left"/>
        <w:tblInd w:w="0" w:type="dxa"/>
        <w:tblCellMar>
          <w:top w:w="0" w:type="dxa"/>
          <w:left w:w="108" w:type="dxa"/>
          <w:bottom w:w="0" w:type="dxa"/>
          <w:right w:w="108" w:type="dxa"/>
        </w:tblCellMar>
      </w:tblPr>
      <w:tblGrid>
        <w:gridCol w:w="850"/>
        <w:gridCol w:w="680"/>
        <w:gridCol w:w="284"/>
        <w:gridCol w:w="4794"/>
        <w:gridCol w:w="19"/>
        <w:gridCol w:w="6"/>
        <w:gridCol w:w="3216"/>
        <w:gridCol w:w="5"/>
        <w:gridCol w:w="10"/>
        <w:gridCol w:w="8"/>
      </w:tblGrid>
      <w:tr>
        <w:trPr/>
        <w:tc>
          <w:tcPr>
            <w:tcW w:w="1814"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040" w:type="dxa"/>
            <w:gridSpan w:val="5"/>
            <w:tcBorders/>
            <w:shd w:fill="auto" w:val="clear"/>
          </w:tcPr>
          <w:p>
            <w:pPr>
              <w:pStyle w:val="Normal"/>
              <w:spacing w:before="60" w:after="60"/>
              <w:rPr>
                <w:rFonts w:ascii="Arial" w:hAnsi="Arial" w:cs="Arial"/>
                <w:b/>
                <w:b/>
                <w:caps/>
              </w:rPr>
            </w:pPr>
            <w:r>
              <w:rPr>
                <w:rFonts w:cs="Arial" w:ascii="Arial" w:hAnsi="Arial"/>
                <w:b/>
                <w:caps/>
              </w:rPr>
              <w:t>PLACE</w:t>
            </w:r>
          </w:p>
        </w:tc>
      </w:tr>
      <w:tr>
        <w:trPr/>
        <w:tc>
          <w:tcPr>
            <w:tcW w:w="1814" w:type="dxa"/>
            <w:gridSpan w:val="3"/>
            <w:tcBorders/>
            <w:shd w:fill="auto" w:val="clear"/>
          </w:tcPr>
          <w:p>
            <w:pPr>
              <w:pStyle w:val="Normal"/>
              <w:spacing w:before="60" w:after="240"/>
              <w:rPr>
                <w:rFonts w:ascii="Arial" w:hAnsi="Arial" w:cs="Arial"/>
                <w:b/>
                <w:b/>
              </w:rPr>
            </w:pPr>
            <w:r>
              <w:rPr>
                <w:rFonts w:cs="Arial" w:ascii="Arial" w:hAnsi="Arial"/>
                <w:b/>
              </w:rPr>
              <w:t>Job Title</w:t>
            </w:r>
          </w:p>
        </w:tc>
        <w:tc>
          <w:tcPr>
            <w:tcW w:w="8040" w:type="dxa"/>
            <w:gridSpan w:val="5"/>
            <w:tcBorders/>
            <w:shd w:fill="auto" w:val="clear"/>
          </w:tcPr>
          <w:p>
            <w:pPr>
              <w:pStyle w:val="Normal"/>
              <w:spacing w:before="60" w:after="60"/>
              <w:rPr>
                <w:rFonts w:ascii="Arial" w:hAnsi="Arial" w:cs="Arial"/>
              </w:rPr>
            </w:pPr>
            <w:r>
              <w:rPr>
                <w:rFonts w:cs="Arial" w:ascii="Arial" w:hAnsi="Arial"/>
              </w:rPr>
              <w:t>Development Officer (Building Control)</w:t>
            </w:r>
          </w:p>
        </w:tc>
      </w:tr>
      <w:tr>
        <w:trPr/>
        <w:tc>
          <w:tcPr>
            <w:tcW w:w="1530"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633"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1" w:type="dxa"/>
            <w:gridSpan w:val="2"/>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850"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8999"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bottom w:val="single" w:sz="4" w:space="0" w:color="000000"/>
            </w:tcBorders>
            <w:shd w:fill="D9D9D9" w:val="clear"/>
          </w:tcPr>
          <w:p>
            <w:pPr>
              <w:pStyle w:val="Normal"/>
              <w:snapToGrid w:val="false"/>
              <w:spacing w:before="60" w:after="60"/>
              <w:rPr>
                <w:rFonts w:ascii="Arial" w:hAnsi="Arial" w:cs="Arial"/>
                <w:b/>
                <w:b/>
              </w:rPr>
            </w:pPr>
            <w:r>
              <w:rPr>
                <w:rFonts w:cs="Arial" w:ascii="Arial" w:hAnsi="Arial"/>
                <w:b/>
              </w:rPr>
            </w:r>
          </w:p>
        </w:tc>
        <w:tc>
          <w:tcPr>
            <w:tcW w:w="8999"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Grade G</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eastAsia="Times New Roman" w:cs="Arial"/>
                <w:color w:val="000000"/>
              </w:rPr>
            </w:pPr>
            <w:r>
              <w:rPr>
                <w:rFonts w:eastAsia="Times New Roman" w:cs="Arial" w:ascii="Arial" w:hAnsi="Arial"/>
                <w:color w:val="000000"/>
              </w:rPr>
              <w:t>1.</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color w:val="000000"/>
              </w:rPr>
            </w:pPr>
            <w:r>
              <w:rPr>
                <w:rFonts w:eastAsia="Times New Roman" w:cs="Arial" w:ascii="Arial" w:hAnsi="Arial"/>
                <w:color w:val="000000"/>
              </w:rPr>
              <w:t>The ability to provide appropriate advice based on up-to-date technical knowledge and advanced theoretical, practical and procedural knowledge of:</w:t>
            </w:r>
          </w:p>
          <w:p>
            <w:pPr>
              <w:pStyle w:val="Normal"/>
              <w:numPr>
                <w:ilvl w:val="0"/>
                <w:numId w:val="2"/>
              </w:numPr>
              <w:spacing w:lineRule="auto" w:line="264" w:before="120" w:after="120"/>
              <w:ind w:left="720" w:right="175" w:hanging="360"/>
              <w:rPr>
                <w:rFonts w:ascii="Arial" w:hAnsi="Arial" w:eastAsia="Times New Roman" w:cs="Arial"/>
                <w:color w:val="000000"/>
              </w:rPr>
            </w:pPr>
            <w:r>
              <w:rPr>
                <w:rFonts w:eastAsia="Times New Roman" w:cs="Arial" w:ascii="Arial" w:hAnsi="Arial"/>
                <w:color w:val="000000"/>
              </w:rPr>
              <w:t>The Building Safety Regime under the Building Safety Act 2022</w:t>
            </w:r>
          </w:p>
          <w:p>
            <w:pPr>
              <w:pStyle w:val="Normal"/>
              <w:numPr>
                <w:ilvl w:val="0"/>
                <w:numId w:val="2"/>
              </w:numPr>
              <w:spacing w:lineRule="auto" w:line="264" w:before="120" w:after="120"/>
              <w:ind w:left="720" w:right="175" w:hanging="360"/>
              <w:rPr>
                <w:rFonts w:ascii="Arial" w:hAnsi="Arial" w:eastAsia="Times New Roman" w:cs="Arial"/>
                <w:color w:val="000000"/>
              </w:rPr>
            </w:pPr>
            <w:r>
              <w:rPr>
                <w:rFonts w:eastAsia="Times New Roman" w:cs="Arial" w:ascii="Arial" w:hAnsi="Arial"/>
                <w:color w:val="000000"/>
              </w:rPr>
              <w:t>The Building Regulations and associated legislation including enforcement procedures; and</w:t>
            </w:r>
          </w:p>
          <w:p>
            <w:pPr>
              <w:pStyle w:val="Normal"/>
              <w:numPr>
                <w:ilvl w:val="0"/>
                <w:numId w:val="2"/>
              </w:numPr>
              <w:spacing w:lineRule="auto" w:line="264" w:before="120" w:after="120"/>
              <w:ind w:left="720" w:right="175" w:hanging="360"/>
              <w:rPr>
                <w:rFonts w:ascii="Arial" w:hAnsi="Arial" w:eastAsia="Times New Roman" w:cs="Arial"/>
                <w:color w:val="000000"/>
              </w:rPr>
            </w:pPr>
            <w:r>
              <w:rPr>
                <w:rFonts w:eastAsia="Times New Roman" w:cs="Arial" w:ascii="Arial" w:hAnsi="Arial"/>
                <w:color w:val="000000"/>
              </w:rPr>
              <w:t>Procedures regarding dangerous and/or dilapidated buildings, securing buildings and the demolition of buildings;</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eastAsia="Times New Roman" w:cs="Arial"/>
                <w:color w:val="000000"/>
              </w:rPr>
            </w:pPr>
            <w:r>
              <w:rPr>
                <w:rFonts w:eastAsia="Times New Roman" w:cs="Arial" w:ascii="Arial" w:hAnsi="Arial"/>
                <w:color w:val="000000"/>
              </w:rPr>
              <w:t>2.</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pPr>
            <w:r>
              <w:rPr>
                <w:rFonts w:cs="Arial" w:ascii="Arial" w:hAnsi="Arial"/>
                <w:color w:val="000000"/>
              </w:rPr>
              <w:t>A good understanding of the Building Regulations, the Building</w:t>
            </w:r>
            <w:r>
              <w:rPr>
                <w:rFonts w:eastAsia="Times New Roman" w:cs="Arial" w:ascii="Arial" w:hAnsi="Arial"/>
                <w:color w:val="000000"/>
              </w:rPr>
              <w:t xml:space="preserve"> Safety Regime under the Building Safety Act 2022.</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eastAsia="Times New Roman" w:cs="Arial"/>
                <w:color w:val="000000"/>
              </w:rPr>
            </w:pPr>
            <w:r>
              <w:rPr>
                <w:rFonts w:eastAsia="Times New Roman" w:cs="Arial" w:ascii="Arial" w:hAnsi="Arial"/>
                <w:color w:val="000000"/>
              </w:rPr>
              <w:t>3.</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The ability to analyse varied technical building safety issues and problems effectively and make recommendations for action to the Director, Executive Member(s), or Committees or make final delegated decisions as appropriate in line with current Building Regulations and related legislation and policy.</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eastAsia="Times New Roman" w:cs="Arial"/>
                <w:color w:val="000000"/>
              </w:rPr>
            </w:pPr>
            <w:r>
              <w:rPr>
                <w:rFonts w:eastAsia="Times New Roman" w:cs="Arial" w:ascii="Arial" w:hAnsi="Arial"/>
                <w:color w:val="000000"/>
              </w:rPr>
              <w:t>4.</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The ability to apply innovative problem-solving techniques to the implementation of change, service improvement processes and performance for the good of the Section and the Council.</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The ability to work within multi-disciplinary and cross agency teams including professional officers and non-specialists</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The ability to use a wide range of techniques to respond and provide support to team members.</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Have an understanding of the political sensitivities of local government, the respective roles of Elected Members and Officers and key decision-making processes.</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The ability to work as a team and work on their own initiative to prioritise own workload and adapt accordingly</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color w:val="000000"/>
              </w:rPr>
            </w:pPr>
            <w:r>
              <w:rPr>
                <w:rFonts w:cs="Arial" w:ascii="Arial" w:hAnsi="Arial"/>
                <w:color w:val="000000"/>
              </w:rPr>
              <w:t>Good written, verbal, presentational and inter-personal skills enabling effective communication with staff, management, chief officers, directors, elected members and the general public in particular.</w:t>
              <w:tab/>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777" w:type="dxa"/>
            <w:gridSpan w:val="4"/>
            <w:tcBorders>
              <w:top w:val="single" w:sz="4" w:space="0" w:color="000000"/>
              <w:bottom w:val="single" w:sz="4" w:space="0" w:color="000000"/>
            </w:tcBorders>
            <w:shd w:fill="auto" w:val="clear"/>
          </w:tcPr>
          <w:p>
            <w:pPr>
              <w:pStyle w:val="Normal"/>
              <w:spacing w:lineRule="auto" w:line="240" w:before="0" w:after="120"/>
              <w:rPr>
                <w:rFonts w:ascii="Arial" w:hAnsi="Arial" w:cs="Arial"/>
                <w:color w:val="000000"/>
              </w:rPr>
            </w:pPr>
            <w:r>
              <w:rPr>
                <w:rFonts w:cs="Arial" w:ascii="Arial" w:hAnsi="Arial"/>
                <w:color w:val="000000"/>
              </w:rPr>
              <w:t>An awareness and understanding of, and the ability to use Information and Communication Technology in order to interpret information and make full use of appropriate software and hardware in the development of the Section and an ability to record and use information within departmental, Authority and legal guidelines.</w:t>
            </w:r>
          </w:p>
        </w:tc>
        <w:tc>
          <w:tcPr>
            <w:tcW w:w="3222" w:type="dxa"/>
            <w:gridSpan w:val="2"/>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5777" w:type="dxa"/>
            <w:gridSpan w:val="4"/>
            <w:tcBorders>
              <w:top w:val="single" w:sz="4" w:space="0" w:color="000000"/>
              <w:bottom w:val="single" w:sz="4" w:space="0" w:color="000000"/>
            </w:tcBorders>
            <w:shd w:fill="auto" w:val="clear"/>
          </w:tcPr>
          <w:p>
            <w:pPr>
              <w:pStyle w:val="Normal"/>
              <w:spacing w:lineRule="auto" w:line="240" w:before="0" w:after="120"/>
              <w:rPr>
                <w:rFonts w:ascii="Arial" w:hAnsi="Arial" w:cs="Arial"/>
                <w:b/>
                <w:b/>
              </w:rPr>
            </w:pPr>
            <w:r>
              <w:rPr>
                <w:rFonts w:cs="Arial" w:ascii="Arial" w:hAnsi="Arial"/>
                <w:b/>
              </w:rPr>
              <w:t>Grade H - Progression to Grade H is dependent on assessment of ability to undertake all of the above in addition to the following duties:</w:t>
            </w:r>
          </w:p>
        </w:tc>
        <w:tc>
          <w:tcPr>
            <w:tcW w:w="3222"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color w:val="000000"/>
              </w:rPr>
            </w:pPr>
            <w:r>
              <w:rPr>
                <w:rFonts w:cs="Arial" w:ascii="Arial" w:hAnsi="Arial"/>
                <w:color w:val="000000"/>
              </w:rPr>
            </w:r>
          </w:p>
        </w:tc>
        <w:tc>
          <w:tcPr>
            <w:tcW w:w="23" w:type="dxa"/>
            <w:tcBorders/>
            <w:shd w:fill="auto" w:val="clear"/>
          </w:tcPr>
          <w:p>
            <w:pPr>
              <w:pStyle w:val="Normal"/>
              <w:widowControl/>
              <w:bidi w:val="0"/>
              <w:snapToGrid w:val="false"/>
              <w:spacing w:lineRule="auto" w:line="276" w:before="0" w:after="200"/>
              <w:jc w:val="left"/>
              <w:rPr>
                <w:rFonts w:ascii="Arial" w:hAnsi="Arial" w:cs="Arial"/>
                <w:color w:val="000000"/>
              </w:rPr>
            </w:pPr>
            <w:r>
              <w:rPr>
                <w:rFonts w:cs="Arial" w:ascii="Arial" w:hAnsi="Arial"/>
                <w:color w:val="000000"/>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777" w:type="dxa"/>
            <w:gridSpan w:val="4"/>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color w:val="000000"/>
              </w:rPr>
            </w:pPr>
            <w:r>
              <w:rPr>
                <w:rFonts w:eastAsia="Times New Roman" w:cs="Arial" w:ascii="Arial" w:hAnsi="Arial"/>
                <w:color w:val="000000"/>
              </w:rPr>
              <w:t>The ability to provide appropriate advice based on up-to-date technical knowledge and advanced theoretical, practical and procedural knowledge of complex and sizable development proposals, in order to provide appropriate advice with increased confidence and competency, based on up-to-date technical knowledge and advanced theoretical, practical and procedural knowledge of:</w:t>
            </w:r>
          </w:p>
          <w:p>
            <w:pPr>
              <w:pStyle w:val="Normal"/>
              <w:numPr>
                <w:ilvl w:val="0"/>
                <w:numId w:val="2"/>
              </w:numPr>
              <w:spacing w:lineRule="auto" w:line="240" w:before="120" w:after="120"/>
              <w:ind w:left="720" w:right="175" w:hanging="360"/>
              <w:contextualSpacing/>
              <w:rPr>
                <w:rFonts w:ascii="Arial" w:hAnsi="Arial" w:eastAsia="Times New Roman" w:cs="Arial"/>
                <w:color w:val="000000"/>
              </w:rPr>
            </w:pPr>
            <w:r>
              <w:rPr>
                <w:rFonts w:eastAsia="Times New Roman" w:cs="Arial" w:ascii="Arial" w:hAnsi="Arial"/>
                <w:color w:val="000000"/>
              </w:rPr>
              <w:t>The Building Safety Regime under the Building Safety Act 2022</w:t>
            </w:r>
          </w:p>
          <w:p>
            <w:pPr>
              <w:pStyle w:val="Normal"/>
              <w:numPr>
                <w:ilvl w:val="0"/>
                <w:numId w:val="2"/>
              </w:numPr>
              <w:spacing w:lineRule="auto" w:line="240" w:before="120" w:after="120"/>
              <w:ind w:left="720" w:right="175" w:hanging="360"/>
              <w:contextualSpacing/>
              <w:rPr>
                <w:rFonts w:ascii="Arial" w:hAnsi="Arial" w:eastAsia="Times New Roman" w:cs="Arial"/>
                <w:color w:val="000000"/>
              </w:rPr>
            </w:pPr>
            <w:r>
              <w:rPr>
                <w:rFonts w:eastAsia="Times New Roman" w:cs="Arial" w:ascii="Arial" w:hAnsi="Arial"/>
                <w:color w:val="000000"/>
              </w:rPr>
              <w:t>The Building Regulations and associated legislation including enforcement procedures; and</w:t>
            </w:r>
          </w:p>
          <w:p>
            <w:pPr>
              <w:pStyle w:val="Normal"/>
              <w:numPr>
                <w:ilvl w:val="0"/>
                <w:numId w:val="2"/>
              </w:numPr>
              <w:spacing w:lineRule="auto" w:line="240" w:before="120" w:after="120"/>
              <w:ind w:left="720" w:right="175" w:hanging="360"/>
              <w:contextualSpacing/>
              <w:rPr>
                <w:rFonts w:ascii="Arial" w:hAnsi="Arial" w:eastAsia="Times New Roman" w:cs="Arial"/>
                <w:color w:val="000000"/>
              </w:rPr>
            </w:pPr>
            <w:r>
              <w:rPr>
                <w:rFonts w:eastAsia="Times New Roman" w:cs="Arial" w:ascii="Arial" w:hAnsi="Arial"/>
                <w:color w:val="000000"/>
              </w:rPr>
              <w:t>Procedures regarding dangerous and/or dilapidated buildings, securing buildings and the demolition of buildings.</w:t>
            </w:r>
          </w:p>
          <w:p>
            <w:pPr>
              <w:pStyle w:val="ListParagraph"/>
              <w:spacing w:before="120" w:after="120"/>
              <w:ind w:left="720" w:right="175" w:hanging="0"/>
              <w:contextualSpacing/>
              <w:rPr>
                <w:rFonts w:cs="Arial"/>
              </w:rPr>
            </w:pPr>
            <w:r>
              <w:rPr>
                <w:rFonts w:cs="Arial"/>
              </w:rPr>
            </w:r>
          </w:p>
        </w:tc>
        <w:tc>
          <w:tcPr>
            <w:tcW w:w="3222"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color w:val="000000"/>
              </w:rPr>
            </w:pPr>
            <w:r>
              <w:rPr>
                <w:rFonts w:cs="Arial" w:ascii="Arial" w:hAnsi="Arial"/>
                <w:color w:val="000000"/>
              </w:rPr>
            </w:r>
          </w:p>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777" w:type="dxa"/>
            <w:gridSpan w:val="4"/>
            <w:tcBorders>
              <w:top w:val="single" w:sz="4" w:space="0" w:color="000000"/>
              <w:bottom w:val="single" w:sz="4" w:space="0" w:color="000000"/>
            </w:tcBorders>
            <w:shd w:fill="auto" w:val="clear"/>
          </w:tcPr>
          <w:p>
            <w:pPr>
              <w:pStyle w:val="Normal"/>
              <w:spacing w:before="120" w:after="120"/>
              <w:ind w:left="0" w:right="175" w:hanging="0"/>
              <w:contextualSpacing/>
              <w:rPr/>
            </w:pPr>
            <w:r>
              <w:rPr>
                <w:rFonts w:cs="Arial" w:ascii="Arial" w:hAnsi="Arial"/>
                <w:color w:val="000000"/>
              </w:rPr>
              <w:t xml:space="preserve">Have a thorough and comprehensive understanding of the Building Regulations, the </w:t>
            </w:r>
            <w:r>
              <w:rPr>
                <w:rFonts w:eastAsia="Times New Roman" w:cs="Arial" w:ascii="Arial" w:hAnsi="Arial"/>
                <w:color w:val="000000"/>
              </w:rPr>
              <w:t xml:space="preserve">Building Safety Regime under the Building Safety Act 2022 </w:t>
            </w:r>
          </w:p>
        </w:tc>
        <w:tc>
          <w:tcPr>
            <w:tcW w:w="3222"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color w:val="000000"/>
              </w:rPr>
            </w:pPr>
            <w:r>
              <w:rPr>
                <w:rFonts w:cs="Arial" w:ascii="Arial" w:hAnsi="Arial"/>
                <w:color w:val="000000"/>
              </w:rPr>
            </w:r>
          </w:p>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777" w:type="dxa"/>
            <w:gridSpan w:val="4"/>
            <w:tcBorders>
              <w:top w:val="single" w:sz="4" w:space="0" w:color="000000"/>
              <w:bottom w:val="single" w:sz="4" w:space="0" w:color="000000"/>
            </w:tcBorders>
            <w:shd w:fill="auto" w:val="clear"/>
          </w:tcPr>
          <w:p>
            <w:pPr>
              <w:pStyle w:val="Normal"/>
              <w:spacing w:before="120" w:after="120"/>
              <w:ind w:left="0" w:right="175" w:hanging="0"/>
              <w:contextualSpacing/>
              <w:rPr>
                <w:rFonts w:ascii="Arial" w:hAnsi="Arial" w:cs="Arial"/>
                <w:color w:val="000000"/>
              </w:rPr>
            </w:pPr>
            <w:r>
              <w:rPr>
                <w:rFonts w:cs="Arial" w:ascii="Arial" w:hAnsi="Arial"/>
                <w:color w:val="000000"/>
              </w:rPr>
              <w:t>The ability to analyse complex problems, situations and applications regarding varied technical building safety issues and problems effectively, demonstrating increased confidence and competency in all key areas of the job description and make recommendations for action to the Building Control Manager, Director, Executive Member(s), or Committees or make final delegated decisions as appropriate in line with current Building Regulations and related legislation and policy.</w:t>
            </w:r>
          </w:p>
          <w:p>
            <w:pPr>
              <w:pStyle w:val="Normal"/>
              <w:spacing w:before="120" w:after="120"/>
              <w:ind w:left="0" w:right="175" w:hanging="0"/>
              <w:rPr>
                <w:rFonts w:ascii="Arial" w:hAnsi="Arial" w:cs="Arial"/>
              </w:rPr>
            </w:pPr>
            <w:r>
              <w:rPr>
                <w:rFonts w:cs="Arial" w:ascii="Arial" w:hAnsi="Arial"/>
              </w:rPr>
            </w:r>
          </w:p>
        </w:tc>
        <w:tc>
          <w:tcPr>
            <w:tcW w:w="3222"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color w:val="000000"/>
              </w:rPr>
            </w:pPr>
            <w:r>
              <w:rPr>
                <w:rFonts w:cs="Arial" w:ascii="Arial" w:hAnsi="Arial"/>
                <w:color w:val="000000"/>
              </w:rPr>
            </w:r>
          </w:p>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777" w:type="dxa"/>
            <w:gridSpan w:val="4"/>
            <w:tcBorders>
              <w:bottom w:val="single" w:sz="4" w:space="0" w:color="000000"/>
            </w:tcBorders>
            <w:shd w:fill="auto" w:val="clear"/>
          </w:tcPr>
          <w:p>
            <w:pPr>
              <w:pStyle w:val="Normal"/>
              <w:spacing w:before="0" w:after="200"/>
              <w:contextualSpacing/>
              <w:rPr>
                <w:rFonts w:ascii="Arial" w:hAnsi="Arial" w:cs="Arial"/>
                <w:color w:val="000000"/>
              </w:rPr>
            </w:pPr>
            <w:r>
              <w:rPr>
                <w:rFonts w:cs="Arial" w:ascii="Arial" w:hAnsi="Arial"/>
                <w:color w:val="000000"/>
              </w:rPr>
              <w:t>Have a detailed understanding and make a valued contribution to the political sensitivities of local government, the respective roles of Elected Members and Officers and key decision-making processes.</w:t>
            </w:r>
          </w:p>
          <w:p>
            <w:pPr>
              <w:pStyle w:val="Normal"/>
              <w:spacing w:before="120" w:after="120"/>
              <w:ind w:left="0" w:right="175" w:hanging="0"/>
              <w:rPr>
                <w:rFonts w:ascii="Arial" w:hAnsi="Arial" w:cs="Arial"/>
              </w:rPr>
            </w:pPr>
            <w:r>
              <w:rPr>
                <w:rFonts w:cs="Arial" w:ascii="Arial" w:hAnsi="Arial"/>
              </w:rPr>
            </w:r>
          </w:p>
        </w:tc>
        <w:tc>
          <w:tcPr>
            <w:tcW w:w="3222" w:type="dxa"/>
            <w:gridSpan w:val="2"/>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777" w:type="dxa"/>
            <w:gridSpan w:val="4"/>
            <w:tcBorders>
              <w:bottom w:val="single" w:sz="4" w:space="0" w:color="000000"/>
            </w:tcBorders>
            <w:shd w:fill="auto" w:val="clear"/>
          </w:tcPr>
          <w:p>
            <w:pPr>
              <w:pStyle w:val="Normal"/>
              <w:spacing w:before="0" w:after="200"/>
              <w:contextualSpacing/>
              <w:rPr>
                <w:rFonts w:ascii="Arial" w:hAnsi="Arial" w:cs="Arial"/>
                <w:color w:val="000000"/>
              </w:rPr>
            </w:pPr>
            <w:r>
              <w:rPr>
                <w:rFonts w:cs="Arial" w:ascii="Arial" w:hAnsi="Arial"/>
                <w:color w:val="000000"/>
              </w:rPr>
              <w:t>Excellent written, verbal, presentational and inter-personal skills enabling effective communication with staff, management, chief officers, directors, elected members and the general public in particular.</w:t>
            </w:r>
          </w:p>
          <w:p>
            <w:pPr>
              <w:pStyle w:val="Normal"/>
              <w:spacing w:before="0" w:after="200"/>
              <w:contextualSpacing/>
              <w:rPr>
                <w:rFonts w:ascii="Arial" w:hAnsi="Arial" w:cs="Arial"/>
                <w:color w:val="000000"/>
              </w:rPr>
            </w:pPr>
            <w:r>
              <w:rPr>
                <w:rFonts w:cs="Arial" w:ascii="Arial" w:hAnsi="Arial"/>
                <w:color w:val="000000"/>
              </w:rPr>
            </w:r>
          </w:p>
        </w:tc>
        <w:tc>
          <w:tcPr>
            <w:tcW w:w="3222" w:type="dxa"/>
            <w:gridSpan w:val="2"/>
            <w:tcBorders>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777" w:type="dxa"/>
            <w:gridSpan w:val="4"/>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222" w:type="dxa"/>
            <w:gridSpan w:val="2"/>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9864"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850" w:type="dxa"/>
            <w:tcBorders>
              <w:top w:val="single" w:sz="4" w:space="0" w:color="000000"/>
              <w:bottom w:val="single" w:sz="4" w:space="0" w:color="000000"/>
            </w:tcBorders>
            <w:shd w:fill="auto" w:val="clear"/>
          </w:tcPr>
          <w:p>
            <w:pPr>
              <w:pStyle w:val="Normal"/>
              <w:snapToGrid w:val="false"/>
              <w:spacing w:before="120" w:after="120"/>
              <w:rPr>
                <w:rFonts w:ascii="Arial" w:hAnsi="Arial" w:cs="Arial"/>
                <w:b/>
                <w:b/>
                <w:bCs/>
              </w:rPr>
            </w:pPr>
            <w:r>
              <w:rPr>
                <w:rFonts w:cs="Arial" w:ascii="Arial" w:hAnsi="Arial"/>
                <w:b/>
                <w:bCs/>
              </w:rPr>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b/>
                <w:b/>
                <w:bCs/>
                <w:color w:val="000000"/>
              </w:rPr>
            </w:pPr>
            <w:r>
              <w:rPr>
                <w:rFonts w:cs="Arial" w:ascii="Arial" w:hAnsi="Arial"/>
                <w:b/>
                <w:bCs/>
                <w:color w:val="000000"/>
              </w:rPr>
              <w:t>Grade G</w:t>
            </w:r>
          </w:p>
        </w:tc>
        <w:tc>
          <w:tcPr>
            <w:tcW w:w="3241" w:type="dxa"/>
            <w:gridSpan w:val="3"/>
            <w:tcBorders>
              <w:top w:val="single" w:sz="4" w:space="0" w:color="000000"/>
              <w:bottom w:val="single" w:sz="4" w:space="0" w:color="000000"/>
            </w:tcBorders>
            <w:shd w:fill="auto" w:val="clear"/>
          </w:tcPr>
          <w:p>
            <w:pPr>
              <w:pStyle w:val="Normal"/>
              <w:snapToGrid w:val="false"/>
              <w:spacing w:before="120" w:after="120"/>
              <w:rPr>
                <w:rFonts w:ascii="Arial" w:hAnsi="Arial" w:cs="Arial"/>
                <w:color w:val="000000"/>
              </w:rPr>
            </w:pPr>
            <w:r>
              <w:rPr>
                <w:rFonts w:cs="Arial" w:ascii="Arial" w:hAnsi="Arial"/>
                <w:color w:val="000000"/>
              </w:rPr>
            </w:r>
          </w:p>
        </w:tc>
        <w:tc>
          <w:tcPr>
            <w:tcW w:w="23" w:type="dxa"/>
            <w:tcBorders/>
            <w:shd w:fill="auto" w:val="clear"/>
          </w:tcPr>
          <w:p>
            <w:pPr>
              <w:pStyle w:val="Normal"/>
              <w:widowControl/>
              <w:bidi w:val="0"/>
              <w:snapToGrid w:val="false"/>
              <w:spacing w:lineRule="auto" w:line="276" w:before="0" w:after="200"/>
              <w:jc w:val="left"/>
              <w:rPr>
                <w:rFonts w:ascii="Arial" w:hAnsi="Arial" w:cs="Arial"/>
                <w:color w:val="000000"/>
              </w:rPr>
            </w:pPr>
            <w:r>
              <w:rPr>
                <w:rFonts w:cs="Arial" w:ascii="Arial" w:hAnsi="Arial"/>
                <w:color w:val="000000"/>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8" w:type="dxa"/>
            <w:gridSpan w:val="3"/>
            <w:tcBorders>
              <w:top w:val="single" w:sz="4" w:space="0" w:color="000000"/>
              <w:bottom w:val="single" w:sz="4" w:space="0" w:color="000000"/>
            </w:tcBorders>
            <w:shd w:fill="auto" w:val="clear"/>
          </w:tcPr>
          <w:p>
            <w:pPr>
              <w:pStyle w:val="Normal"/>
              <w:spacing w:lineRule="auto" w:line="264" w:before="120" w:after="120"/>
              <w:ind w:left="0" w:right="175" w:hanging="0"/>
              <w:rPr/>
            </w:pPr>
            <w:r>
              <w:rPr>
                <w:rFonts w:cs="Arial" w:ascii="Arial" w:hAnsi="Arial"/>
              </w:rPr>
              <w:t>Knowledge of the</w:t>
            </w:r>
            <w:r>
              <w:rPr>
                <w:rFonts w:eastAsia="Times New Roman" w:cs="Arial" w:ascii="Arial" w:hAnsi="Arial"/>
                <w:color w:val="000000"/>
              </w:rPr>
              <w:t xml:space="preserve"> Building Safety Regime under the Building Safety Act 2022.</w:t>
            </w:r>
          </w:p>
          <w:p>
            <w:pPr>
              <w:pStyle w:val="Normal"/>
              <w:spacing w:before="120" w:after="120"/>
              <w:rPr>
                <w:rFonts w:ascii="Arial" w:hAnsi="Arial" w:cs="Arial"/>
              </w:rPr>
            </w:pPr>
            <w:r>
              <w:rPr>
                <w:rFonts w:cs="Arial" w:ascii="Arial" w:hAnsi="Arial"/>
              </w:rPr>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b/>
                <w:b/>
                <w:bCs/>
              </w:rPr>
            </w:pPr>
            <w:r>
              <w:rPr>
                <w:rFonts w:cs="Arial" w:ascii="Arial" w:hAnsi="Arial"/>
                <w:b/>
                <w:bCs/>
              </w:rPr>
              <w:t>Grade H</w:t>
            </w:r>
          </w:p>
        </w:tc>
        <w:tc>
          <w:tcPr>
            <w:tcW w:w="3241" w:type="dxa"/>
            <w:gridSpan w:val="3"/>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23" w:type="dxa"/>
            <w:tcBorders/>
            <w:shd w:fill="auto" w:val="clear"/>
          </w:tcPr>
          <w:p>
            <w:pPr>
              <w:pStyle w:val="Normal"/>
              <w:widowControl/>
              <w:bidi w:val="0"/>
              <w:snapToGrid w:val="false"/>
              <w:spacing w:lineRule="auto" w:line="276" w:before="0" w:after="200"/>
              <w:jc w:val="left"/>
              <w:rPr>
                <w:rFonts w:ascii="Arial" w:hAnsi="Arial" w:cs="Arial"/>
              </w:rPr>
            </w:pPr>
            <w:r>
              <w:rPr>
                <w:rFonts w:cs="Arial" w:ascii="Arial" w:hAnsi="Arial"/>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eastAsia="Times New Roman" w:cs="Arial"/>
                <w:color w:val="000000"/>
              </w:rPr>
            </w:pPr>
            <w:r>
              <w:rPr>
                <w:rFonts w:eastAsia="Times New Roman" w:cs="Arial" w:ascii="Arial" w:hAnsi="Arial"/>
                <w:color w:val="000000"/>
              </w:rPr>
              <w:t>Demonstrate at least 2 year’s experience working in a building control environment, including experience of more complex development proposals,</w:t>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9864"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Willingness to undertake some out of hours work as appropriate</w:t>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Willingness to travel outside of the borough as appropriate</w:t>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color w:val="000000"/>
              </w:rPr>
            </w:pPr>
            <w:r>
              <w:rPr>
                <w:rFonts w:cs="Arial" w:ascii="Arial" w:hAnsi="Arial"/>
                <w:color w:val="000000"/>
              </w:rPr>
              <w:t>Application form</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3" w:type="dxa"/>
            <w:tcBorders/>
            <w:shd w:fill="auto" w:val="clear"/>
          </w:tcPr>
          <w:p>
            <w:pPr>
              <w:pStyle w:val="Normal"/>
              <w:widowControl/>
              <w:bidi w:val="0"/>
              <w:snapToGrid w:val="false"/>
              <w:spacing w:lineRule="auto" w:line="276" w:before="0" w:after="200"/>
              <w:jc w:val="left"/>
              <w:rPr/>
            </w:pPr>
            <w:r>
              <w:rPr/>
            </w:r>
          </w:p>
        </w:tc>
      </w:tr>
      <w:tr>
        <w:trPr>
          <w:cantSplit w:val="true"/>
        </w:trPr>
        <w:tc>
          <w:tcPr>
            <w:tcW w:w="850"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8"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24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3" w:type="dxa"/>
            <w:tcBorders/>
            <w:shd w:fill="auto" w:val="clear"/>
          </w:tcPr>
          <w:p>
            <w:pPr>
              <w:pStyle w:val="Normal"/>
              <w:widowControl/>
              <w:bidi w:val="0"/>
              <w:snapToGrid w:val="false"/>
              <w:spacing w:lineRule="auto" w:line="276" w:before="0" w:after="200"/>
              <w:jc w:val="left"/>
              <w:rPr/>
            </w:pPr>
            <w:r>
              <w:rPr/>
            </w:r>
          </w:p>
        </w:tc>
      </w:tr>
    </w:tbl>
    <w:p>
      <w:pPr>
        <w:pStyle w:val="Normal"/>
        <w:spacing w:lineRule="auto" w:line="240" w:before="0" w:after="0"/>
        <w:rPr>
          <w:rFonts w:cs="Arial"/>
        </w:rPr>
      </w:pPr>
      <w:r>
        <w:rPr>
          <w:rFonts w:cs="Arial"/>
        </w:rPr>
      </w:r>
    </w:p>
    <w:p>
      <w:pPr>
        <w:pStyle w:val="Normal"/>
        <w:spacing w:lineRule="auto" w:line="240" w:before="0" w:after="0"/>
        <w:rPr>
          <w:rFonts w:cs="Arial"/>
        </w:rPr>
      </w:pPr>
      <w:r>
        <w:rPr>
          <w:rFonts w:cs="Arial"/>
        </w:rPr>
      </w:r>
    </w:p>
    <w:tbl>
      <w:tblPr>
        <w:tblW w:w="9648" w:type="dxa"/>
        <w:jc w:val="left"/>
        <w:tblInd w:w="0" w:type="dxa"/>
        <w:tblCellMar>
          <w:top w:w="57" w:type="dxa"/>
          <w:left w:w="108" w:type="dxa"/>
          <w:bottom w:w="57" w:type="dxa"/>
          <w:right w:w="108" w:type="dxa"/>
        </w:tblCellMar>
      </w:tblPr>
      <w:tblGrid>
        <w:gridCol w:w="670"/>
        <w:gridCol w:w="1126"/>
        <w:gridCol w:w="3033"/>
        <w:gridCol w:w="1611"/>
        <w:gridCol w:w="3198"/>
        <w:gridCol w:w="10"/>
      </w:tblGrid>
      <w:tr>
        <w:trPr>
          <w:trHeight w:val="653" w:hRule="atLeast"/>
        </w:trPr>
        <w:tc>
          <w:tcPr>
            <w:tcW w:w="179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85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40"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208"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4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Knowledge of British Standards and Codes of Practice regarding Structural Engineering</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Knowledge of Safety at Sports Grounds</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964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color w:val="000000"/>
              </w:rPr>
              <w:t xml:space="preserve">Sufficient post-qualification experience to enable applicants to be eligible for (or have already gained) full corporate membership of CABE or RICS, </w:t>
            </w:r>
            <w:r>
              <w:rPr>
                <w:rFonts w:cs="Arial" w:ascii="Arial" w:hAnsi="Arial"/>
              </w:rPr>
              <w:t>CIOB or other recognised professional body.</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Application form/Interview</w:t>
            </w:r>
          </w:p>
        </w:tc>
      </w:tr>
      <w:tr>
        <w:trPr>
          <w:cantSplit w:val="true"/>
        </w:trPr>
        <w:tc>
          <w:tcPr>
            <w:tcW w:w="67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70"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continued professional development to meet the changing demands of the role</w:t>
            </w:r>
          </w:p>
        </w:tc>
        <w:tc>
          <w:tcPr>
            <w:tcW w:w="319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CPD log (before confirmation)</w:t>
            </w:r>
          </w:p>
        </w:tc>
      </w:tr>
      <w:tr>
        <w:trPr/>
        <w:tc>
          <w:tcPr>
            <w:tcW w:w="4829"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480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April 2024</w:t>
            </w:r>
          </w:p>
        </w:tc>
      </w:tr>
      <w:tr>
        <w:trPr/>
        <w:tc>
          <w:tcPr>
            <w:tcW w:w="4829"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809" w:type="dxa"/>
            <w:gridSpan w:val="2"/>
            <w:tcBorders/>
            <w:shd w:fill="auto" w:val="clear"/>
          </w:tcPr>
          <w:p>
            <w:pPr>
              <w:pStyle w:val="Normal"/>
              <w:spacing w:lineRule="auto" w:line="240" w:before="0" w:after="0"/>
              <w:rPr>
                <w:rFonts w:ascii="Arial" w:hAnsi="Arial" w:cs="Arial"/>
                <w:b/>
                <w:b/>
              </w:rPr>
            </w:pPr>
            <w:r>
              <w:rPr>
                <w:rFonts w:cs="Arial" w:ascii="Arial" w:hAnsi="Arial"/>
                <w:b/>
              </w:rPr>
              <w:t>Interim Head of Service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40" w:before="0" w:after="0"/>
        <w:rPr>
          <w:rFonts w:ascii="Arial" w:hAnsi="Arial" w:cs="Arial"/>
          <w:bCs/>
          <w:iCs/>
        </w:rPr>
      </w:pPr>
      <w:r>
        <w:rPr>
          <w:rFonts w:cs="Arial" w:ascii="Arial" w:hAnsi="Arial"/>
          <w:bCs/>
          <w:iCs/>
        </w:rPr>
      </w:r>
    </w:p>
    <w:p>
      <w:pPr>
        <w:pStyle w:val="Normal"/>
        <w:spacing w:lineRule="auto" w:line="240" w:before="0" w:after="0"/>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rPr/>
      </w:pPr>
      <w:r>
        <w:rPr/>
      </w:r>
    </w:p>
    <w:p>
      <w:pPr>
        <w:pStyle w:val="Normal"/>
        <w:spacing w:lineRule="auto" w:line="240" w:before="0" w:after="0"/>
        <w:rPr/>
      </w:pPr>
      <w:r>
        <w:rPr/>
      </w:r>
    </w:p>
    <w:sectPr>
      <w:type w:val="nextPage"/>
      <w:pgSz w:w="11906" w:h="16838"/>
      <w:pgMar w:left="1134" w:right="1134" w:header="0" w:top="136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244" w:hanging="360"/>
      </w:pPr>
      <w:rPr/>
    </w:lvl>
    <w:lvl w:ilvl="1">
      <w:start w:val="1"/>
      <w:numFmt w:val="lowerLetter"/>
      <w:lvlText w:val="%2."/>
      <w:lvlJc w:val="left"/>
      <w:pPr>
        <w:ind w:left="1964" w:hanging="360"/>
      </w:pPr>
      <w:rPr/>
    </w:lvl>
    <w:lvl w:ilvl="2">
      <w:start w:val="1"/>
      <w:numFmt w:val="lowerRoman"/>
      <w:lvlText w:val="%3."/>
      <w:lvlJc w:val="right"/>
      <w:pPr>
        <w:ind w:left="2684" w:hanging="180"/>
      </w:pPr>
      <w:rPr/>
    </w:lvl>
    <w:lvl w:ilvl="3">
      <w:start w:val="1"/>
      <w:numFmt w:val="decimal"/>
      <w:lvlText w:val="%4."/>
      <w:lvlJc w:val="left"/>
      <w:pPr>
        <w:ind w:left="3404" w:hanging="360"/>
      </w:pPr>
      <w:rPr/>
    </w:lvl>
    <w:lvl w:ilvl="4">
      <w:start w:val="1"/>
      <w:numFmt w:val="lowerLetter"/>
      <w:lvlText w:val="%5."/>
      <w:lvlJc w:val="left"/>
      <w:pPr>
        <w:ind w:left="4124" w:hanging="360"/>
      </w:pPr>
      <w:rPr/>
    </w:lvl>
    <w:lvl w:ilvl="5">
      <w:start w:val="1"/>
      <w:numFmt w:val="lowerRoman"/>
      <w:lvlText w:val="%6."/>
      <w:lvlJc w:val="right"/>
      <w:pPr>
        <w:ind w:left="4844" w:hanging="180"/>
      </w:pPr>
      <w:rPr/>
    </w:lvl>
    <w:lvl w:ilvl="6">
      <w:start w:val="1"/>
      <w:numFmt w:val="decimal"/>
      <w:lvlText w:val="%7."/>
      <w:lvlJc w:val="left"/>
      <w:pPr>
        <w:ind w:left="5564" w:hanging="360"/>
      </w:pPr>
      <w:rPr/>
    </w:lvl>
    <w:lvl w:ilvl="7">
      <w:start w:val="1"/>
      <w:numFmt w:val="lowerLetter"/>
      <w:lvlText w:val="%8."/>
      <w:lvlJc w:val="left"/>
      <w:pPr>
        <w:ind w:left="6284" w:hanging="360"/>
      </w:pPr>
      <w:rPr/>
    </w:lvl>
    <w:lvl w:ilvl="8">
      <w:start w:val="1"/>
      <w:numFmt w:val="lowerRoman"/>
      <w:lvlText w:val="%9."/>
      <w:lvlJc w:val="right"/>
      <w:pPr>
        <w:ind w:left="7004" w:hanging="180"/>
      </w:pPr>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ListParagraphChar">
    <w:name w:val="List Paragraph Char"/>
    <w:basedOn w:val="DefaultParagraphFont"/>
    <w:qFormat/>
    <w:rPr>
      <w:rFonts w:ascii="Arial" w:hAnsi="Arial" w:eastAsia="Times New Roman" w:cs="Times New Roman"/>
    </w:rPr>
  </w:style>
  <w:style w:type="character" w:styleId="CommentSubjectChar">
    <w:name w:val="Comment Subject Char"/>
    <w:basedOn w:val="CommentTextChar"/>
    <w:qFormat/>
    <w:rPr>
      <w:b/>
      <w:bCs/>
      <w:sz w:val="20"/>
      <w:szCs w:val="20"/>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2026-04-17T11:29:00Z</dcterms:created>
  <dc:creator>Longworth, Dawn (Deputy HR Manager)</dc:creator>
  <dc:description/>
  <dc:language>en-US</dc:language>
  <cp:lastModifiedBy>Morement, Kate</cp:lastModifiedBy>
  <cp:lastPrinted>1995-11-21T17:41:00Z</cp:lastPrinted>
  <dcterms:modified xsi:type="dcterms:W3CDTF">2026-04-17T11:29:00Z</dcterms:modified>
  <cp:revision>3</cp:revision>
  <dc:subject/>
  <dc:title>JOB DESCRIPTION PERSON SPEC COMPETENCIES TEMPLATE - JAN 2017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12200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