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Key Worker (Early Intervention Service)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F</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Default"/>
              <w:numPr>
                <w:ilvl w:val="0"/>
                <w:numId w:val="1"/>
              </w:numPr>
              <w:spacing w:lineRule="auto" w:line="240" w:before="0" w:after="0"/>
              <w:ind w:left="369" w:right="0" w:hanging="360"/>
              <w:rPr>
                <w:sz w:val="22"/>
                <w:szCs w:val="22"/>
              </w:rPr>
            </w:pPr>
            <w:r>
              <w:rPr>
                <w:sz w:val="22"/>
                <w:szCs w:val="22"/>
              </w:rPr>
              <w:t xml:space="preserve">To work with schools’ pupils and families to promote engagement in education and regular attendance at school. </w:t>
            </w:r>
          </w:p>
          <w:p>
            <w:pPr>
              <w:pStyle w:val="ListParagraph"/>
              <w:numPr>
                <w:ilvl w:val="0"/>
                <w:numId w:val="1"/>
              </w:numPr>
              <w:spacing w:lineRule="auto" w:line="240" w:before="120" w:after="0"/>
              <w:ind w:left="369" w:right="0" w:hanging="360"/>
              <w:contextualSpacing/>
              <w:rPr>
                <w:rFonts w:cs="Arial"/>
              </w:rPr>
            </w:pPr>
            <w:r>
              <w:rPr>
                <w:rFonts w:cs="Arial"/>
              </w:rPr>
              <w:t>To assess the needs of children and families to identify barriers to participation in education and ensure effective interventions are in place to maximise school attendance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12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120" w:after="0"/>
              <w:rPr>
                <w:rFonts w:ascii="Arial" w:hAnsi="Arial" w:cs="Arial"/>
              </w:rPr>
            </w:pPr>
            <w:r>
              <w:rPr>
                <w:rFonts w:cs="Arial" w:ascii="Arial" w:hAnsi="Arial"/>
              </w:rPr>
              <w:t>Senior Keyworker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4006"/>
        <w:gridCol w:w="5065"/>
      </w:tblGrid>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manage and be accountable for a caseload of young people and families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work co-operatively with schools’ pupils’ families and other partner agencies to provide support, information, and advice through formal / informal contact.</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assess the needs of children and families and undertake the Lead professional role where appropriate.</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Maintain records to allow progress of individual young people and families to be monitored and provide regular management information to enable planning.</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Maintain high levels of contact and engagement with children, young people and families.</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work within any appropriate Council and service procedures and guidelines.</w:t>
            </w:r>
          </w:p>
          <w:p>
            <w:pPr>
              <w:pStyle w:val="NoSpacing"/>
              <w:spacing w:lineRule="auto" w:line="240" w:before="0" w:after="0"/>
              <w:rPr>
                <w:rFonts w:ascii="Arial" w:hAnsi="Arial" w:cs="Arial"/>
              </w:rPr>
            </w:pPr>
            <w:r>
              <w:rPr>
                <w:rFonts w:cs="Arial" w:ascii="Arial" w:hAnsi="Arial"/>
              </w:rPr>
              <w:t>Including Bolton Safeguarding Boards Framework for Action procedures.</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work flexibly at different times of the day/week and in different settings to engage</w:t>
            </w:r>
          </w:p>
          <w:p>
            <w:pPr>
              <w:pStyle w:val="NoSpacing"/>
              <w:spacing w:lineRule="auto" w:line="240" w:before="0" w:after="0"/>
              <w:rPr>
                <w:rFonts w:ascii="Arial" w:hAnsi="Arial" w:cs="Arial"/>
              </w:rPr>
            </w:pPr>
            <w:r>
              <w:rPr>
                <w:rFonts w:cs="Arial" w:ascii="Arial" w:hAnsi="Arial"/>
              </w:rPr>
              <w:t>young people and families in education and positive activities.</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identify the barriers to education and create bespoke interventions for whole families using a variety of approaches to maximise school attendance, including practical ‘hands on’ support.</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work with schools to encourage and establish good attendance practice and to</w:t>
            </w:r>
          </w:p>
          <w:p>
            <w:pPr>
              <w:pStyle w:val="NoSpacing"/>
              <w:spacing w:lineRule="auto" w:line="240" w:before="0" w:after="0"/>
              <w:rPr>
                <w:rFonts w:ascii="Arial" w:hAnsi="Arial" w:cs="Arial"/>
              </w:rPr>
            </w:pPr>
            <w:r>
              <w:rPr>
                <w:rFonts w:cs="Arial" w:ascii="Arial" w:hAnsi="Arial"/>
              </w:rPr>
              <w:t>provide information and advice on attendance related issues as appropriate.</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undertake the Lead Professional Role when required by contributing to the assessment of young people and acting as a key contact point, including arranging and chairing Child Action Meetings and communicating effectively with schools and partners.</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work with young people and families to empower them to make decisions in order to realise their full potential.</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ensure all statutory obligations are met. Including the preparation of witness statements and giving evidence in court to support the local authority with prosecutions in relation to the Education Act 1996.</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 xml:space="preserve">To take a whole family approach in identifying barriers to progression and deliver against local and national priorities </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undertake home visits as part of a duty system where Children subject to Safeguarding plans are absent from school.</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advocate on behalf of young people and families to ensure they are consulted with and participate in decisions that affect their future.</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be aware of and implement current policy on issues relating to equality of opportunity and diversity, to challenge prejudices and to promote good practice generally.</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perform the full range of duties and responsibilities above in a variety of locations and contexts across the Borough, including lone working and home visits.</w:t>
            </w:r>
          </w:p>
          <w:p>
            <w:pPr>
              <w:pStyle w:val="NoSpacing"/>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demonstrate initiative and operate with limited direct supervision.</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take responsibility for planning and managing one’s own work.</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contribute to the development of the service.</w:t>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9071" w:type="dxa"/>
            <w:gridSpan w:val="2"/>
            <w:tcBorders/>
            <w:shd w:fill="auto" w:val="clear"/>
          </w:tcPr>
          <w:p>
            <w:pPr>
              <w:pStyle w:val="NoSpacing"/>
              <w:spacing w:lineRule="auto" w:line="240" w:before="0" w:after="0"/>
              <w:rPr>
                <w:rFonts w:ascii="Arial" w:hAnsi="Arial" w:cs="Arial"/>
              </w:rPr>
            </w:pPr>
            <w:r>
              <w:rPr>
                <w:rFonts w:cs="Arial" w:ascii="Arial" w:hAnsi="Arial"/>
              </w:rPr>
              <w:t>To undertake other appropriate duties as may be required from time to time commensurate with the grade of the post, which may include working unsocial hours and at weekends.</w:t>
            </w:r>
          </w:p>
          <w:p>
            <w:pPr>
              <w:pStyle w:val="NoSpacing"/>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Spacing"/>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Spacing"/>
              <w:spacing w:lineRule="auto" w:line="240" w:before="0" w:after="0"/>
              <w:rPr>
                <w:rFonts w:ascii="Arial" w:hAnsi="Arial" w:cs="Arial"/>
                <w:b/>
                <w:b/>
              </w:rPr>
            </w:pPr>
            <w:r>
              <w:rPr>
                <w:rFonts w:cs="Arial" w:ascii="Arial" w:hAnsi="Arial"/>
                <w:b/>
              </w:rPr>
              <w:t>June 2016</w:t>
            </w:r>
          </w:p>
        </w:tc>
      </w:tr>
      <w:tr>
        <w:trPr/>
        <w:tc>
          <w:tcPr>
            <w:tcW w:w="4572" w:type="dxa"/>
            <w:gridSpan w:val="2"/>
            <w:tcBorders/>
            <w:shd w:fill="auto" w:val="clear"/>
          </w:tcPr>
          <w:p>
            <w:pPr>
              <w:pStyle w:val="NoSpacing"/>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Spacing"/>
              <w:spacing w:lineRule="auto" w:line="240" w:before="0" w:after="0"/>
              <w:rPr>
                <w:rFonts w:ascii="Arial" w:hAnsi="Arial" w:cs="Arial"/>
                <w:b/>
                <w:b/>
              </w:rPr>
            </w:pPr>
            <w:r>
              <w:rPr>
                <w:rFonts w:cs="Arial" w:ascii="Arial" w:hAnsi="Arial"/>
                <w:b/>
              </w:rPr>
              <w:t>Service Manager</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56" w:before="0" w:after="160"/>
        <w:rPr/>
      </w:pPr>
      <w:r>
        <w:rPr/>
      </w:r>
      <w:r>
        <w:br w:type="page"/>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33"/>
        <w:gridCol w:w="959"/>
        <w:gridCol w:w="5562"/>
        <w:gridCol w:w="2836"/>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b/>
                <w:b/>
                <w:caps/>
              </w:rPr>
            </w:pPr>
            <w:r>
              <w:rPr>
                <w:rFonts w:cs="Arial" w:ascii="Arial" w:hAnsi="Arial"/>
                <w:b/>
                <w:caps/>
              </w:rPr>
              <w:t>Children’s SERVICES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KEYWORKER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7229" w:type="dxa"/>
            <w:gridSpan w:val="4"/>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846"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4"/>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1.</w:t>
            </w:r>
          </w:p>
        </w:tc>
        <w:tc>
          <w:tcPr>
            <w:tcW w:w="6554" w:type="dxa"/>
            <w:gridSpan w:val="3"/>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Ability to engage and deliver appropriate interventions with young people, parents and carers in a variety of settings, to achieve change and maximise school attendance</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675"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2.</w:t>
            </w:r>
          </w:p>
        </w:tc>
        <w:tc>
          <w:tcPr>
            <w:tcW w:w="6554" w:type="dxa"/>
            <w:gridSpan w:val="3"/>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Ability to communicate clearly at all levels verbally and in writing</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675" w:type="dxa"/>
            <w:tcBorders>
              <w:bottom w:val="single" w:sz="4" w:space="0" w:color="000000"/>
            </w:tcBorders>
            <w:shd w:fill="auto" w:val="clear"/>
          </w:tcPr>
          <w:p>
            <w:pPr>
              <w:pStyle w:val="Normal"/>
              <w:spacing w:before="80" w:after="80"/>
              <w:rPr>
                <w:rFonts w:ascii="Arial" w:hAnsi="Arial" w:cs="Arial"/>
              </w:rPr>
            </w:pPr>
            <w:r>
              <w:rPr>
                <w:rFonts w:cs="Arial" w:ascii="Arial" w:hAnsi="Arial"/>
              </w:rPr>
              <w:t>3.</w:t>
            </w:r>
          </w:p>
        </w:tc>
        <w:tc>
          <w:tcPr>
            <w:tcW w:w="6554" w:type="dxa"/>
            <w:gridSpan w:val="3"/>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Knowledge of factors/issues affecting young people and the key points of transition in their lives</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Interview / Assessment</w:t>
            </w:r>
          </w:p>
        </w:tc>
      </w:tr>
      <w:tr>
        <w:trPr>
          <w:cantSplit w:val="true"/>
        </w:trPr>
        <w:tc>
          <w:tcPr>
            <w:tcW w:w="675" w:type="dxa"/>
            <w:tcBorders>
              <w:bottom w:val="single" w:sz="4" w:space="0" w:color="000000"/>
            </w:tcBorders>
            <w:shd w:fill="auto" w:val="clear"/>
          </w:tcPr>
          <w:p>
            <w:pPr>
              <w:pStyle w:val="Normal"/>
              <w:spacing w:before="80" w:after="80"/>
              <w:rPr>
                <w:rFonts w:ascii="Arial" w:hAnsi="Arial" w:cs="Arial"/>
              </w:rPr>
            </w:pPr>
            <w:r>
              <w:rPr>
                <w:rFonts w:cs="Arial" w:ascii="Arial" w:hAnsi="Arial"/>
              </w:rPr>
              <w:t>4.</w:t>
            </w:r>
          </w:p>
        </w:tc>
        <w:tc>
          <w:tcPr>
            <w:tcW w:w="6554" w:type="dxa"/>
            <w:gridSpan w:val="3"/>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Ability to manage own workload</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675" w:type="dxa"/>
            <w:tcBorders>
              <w:bottom w:val="single" w:sz="4" w:space="0" w:color="000000"/>
            </w:tcBorders>
            <w:shd w:fill="auto" w:val="clear"/>
          </w:tcPr>
          <w:p>
            <w:pPr>
              <w:pStyle w:val="Normal"/>
              <w:spacing w:before="80" w:after="80"/>
              <w:rPr>
                <w:rFonts w:ascii="Arial" w:hAnsi="Arial" w:cs="Arial"/>
              </w:rPr>
            </w:pPr>
            <w:r>
              <w:rPr>
                <w:rFonts w:cs="Arial" w:ascii="Arial" w:hAnsi="Arial"/>
              </w:rPr>
              <w:t>5.</w:t>
            </w:r>
          </w:p>
        </w:tc>
        <w:tc>
          <w:tcPr>
            <w:tcW w:w="6554" w:type="dxa"/>
            <w:gridSpan w:val="3"/>
            <w:tcBorders>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Ability to work as an effective member of a team and with partner organisations</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6.</w:t>
            </w:r>
          </w:p>
        </w:tc>
        <w:tc>
          <w:tcPr>
            <w:tcW w:w="6554" w:type="dxa"/>
            <w:gridSpan w:val="3"/>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Understanding of professional boundaries and appropriate relationships with young people and families</w:t>
            </w:r>
          </w:p>
        </w:tc>
        <w:tc>
          <w:tcPr>
            <w:tcW w:w="2846" w:type="dxa"/>
            <w:tcBorders>
              <w:top w:val="single" w:sz="4" w:space="0" w:color="000000"/>
              <w:bottom w:val="single" w:sz="4" w:space="0" w:color="000000"/>
              <w:right w:val="single" w:sz="4" w:space="0" w:color="000000"/>
            </w:tcBorders>
            <w:shd w:fill="auto" w:val="clear"/>
          </w:tcPr>
          <w:p>
            <w:pPr>
              <w:pStyle w:val="Normal"/>
              <w:spacing w:before="80" w:after="8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7.</w:t>
            </w:r>
          </w:p>
        </w:tc>
        <w:tc>
          <w:tcPr>
            <w:tcW w:w="6554" w:type="dxa"/>
            <w:gridSpan w:val="3"/>
            <w:tcBorders>
              <w:top w:val="single" w:sz="4" w:space="0" w:color="000000"/>
              <w:bottom w:val="single" w:sz="4" w:space="0" w:color="000000"/>
            </w:tcBorders>
            <w:shd w:fill="auto" w:val="clear"/>
          </w:tcPr>
          <w:p>
            <w:pPr>
              <w:pStyle w:val="Normal"/>
              <w:spacing w:before="80" w:after="80"/>
              <w:ind w:left="0" w:right="175" w:hanging="0"/>
              <w:rPr>
                <w:rFonts w:ascii="Arial" w:hAnsi="Arial" w:cs="Arial"/>
              </w:rPr>
            </w:pPr>
            <w:r>
              <w:rPr>
                <w:rFonts w:cs="Arial" w:ascii="Arial" w:hAnsi="Arial"/>
              </w:rPr>
              <w:t>Proficient in the use of ICT and Management Information Systems</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675" w:type="dxa"/>
            <w:tcBorders>
              <w:bottom w:val="single" w:sz="4" w:space="0" w:color="000000"/>
            </w:tcBorders>
            <w:shd w:fill="auto" w:val="clear"/>
          </w:tcPr>
          <w:p>
            <w:pPr>
              <w:pStyle w:val="Normal"/>
              <w:spacing w:before="80" w:after="80"/>
              <w:rPr>
                <w:rFonts w:ascii="Arial" w:hAnsi="Arial" w:cs="Arial"/>
              </w:rPr>
            </w:pPr>
            <w:r>
              <w:rPr>
                <w:rFonts w:cs="Arial" w:ascii="Arial" w:hAnsi="Arial"/>
              </w:rPr>
              <w:t>8.</w:t>
            </w:r>
          </w:p>
        </w:tc>
        <w:tc>
          <w:tcPr>
            <w:tcW w:w="6554" w:type="dxa"/>
            <w:gridSpan w:val="3"/>
            <w:tcBorders>
              <w:bottom w:val="single" w:sz="4" w:space="0" w:color="000000"/>
            </w:tcBorders>
            <w:shd w:fill="auto" w:val="clear"/>
          </w:tcPr>
          <w:p>
            <w:pPr>
              <w:pStyle w:val="Normal"/>
              <w:spacing w:before="80" w:after="8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836" w:type="dxa"/>
            <w:tcBorders>
              <w:bottom w:val="single" w:sz="4" w:space="0" w:color="000000"/>
            </w:tcBorders>
            <w:shd w:fill="auto" w:val="clear"/>
          </w:tcPr>
          <w:p>
            <w:pPr>
              <w:pStyle w:val="Normal"/>
              <w:spacing w:before="80" w:after="80"/>
              <w:rPr>
                <w:rFonts w:ascii="Arial" w:hAnsi="Arial" w:cs="Arial"/>
              </w:rPr>
            </w:pPr>
            <w:r>
              <w:rPr>
                <w:rFonts w:cs="Arial" w:ascii="Arial" w:hAnsi="Arial"/>
              </w:rPr>
              <w:t>Interview</w:t>
            </w:r>
          </w:p>
          <w:p>
            <w:pPr>
              <w:pStyle w:val="Normal"/>
              <w:spacing w:before="80" w:after="80"/>
              <w:rPr>
                <w:rFonts w:ascii="Arial" w:hAnsi="Arial" w:cs="Arial"/>
              </w:rPr>
            </w:pPr>
            <w:r>
              <w:rPr>
                <w:rFonts w:cs="Arial" w:ascii="Arial" w:hAnsi="Arial"/>
              </w:rPr>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1.</w:t>
            </w:r>
          </w:p>
        </w:tc>
        <w:tc>
          <w:tcPr>
            <w:tcW w:w="6521"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Holder of a professional qualification at NVQ Level 3 or equivalent in a relevant field</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 xml:space="preserve">Application </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2.</w:t>
            </w:r>
          </w:p>
        </w:tc>
        <w:tc>
          <w:tcPr>
            <w:tcW w:w="6521" w:type="dxa"/>
            <w:gridSpan w:val="2"/>
            <w:tcBorders>
              <w:top w:val="single" w:sz="4" w:space="0" w:color="000000"/>
              <w:bottom w:val="single" w:sz="4" w:space="0" w:color="000000"/>
            </w:tcBorders>
            <w:shd w:fill="auto" w:val="clear"/>
          </w:tcPr>
          <w:p>
            <w:pPr>
              <w:pStyle w:val="TableParagraph"/>
              <w:overflowPunct w:val="true"/>
              <w:spacing w:before="80" w:after="80"/>
              <w:ind w:left="119" w:right="0" w:hanging="0"/>
              <w:rPr/>
            </w:pPr>
            <w:r>
              <w:rPr>
                <w:sz w:val="22"/>
                <w:szCs w:val="22"/>
              </w:rPr>
              <w:t xml:space="preserve">Experience of working in </w:t>
            </w:r>
            <w:r>
              <w:rPr>
                <w:b/>
                <w:bCs/>
                <w:sz w:val="22"/>
                <w:szCs w:val="22"/>
              </w:rPr>
              <w:t xml:space="preserve">one </w:t>
            </w:r>
            <w:r>
              <w:rPr>
                <w:sz w:val="22"/>
                <w:szCs w:val="22"/>
              </w:rPr>
              <w:t>of the following areas - youth &amp; / or community</w:t>
            </w:r>
            <w:r>
              <w:rPr>
                <w:spacing w:val="-5"/>
                <w:sz w:val="22"/>
                <w:szCs w:val="22"/>
              </w:rPr>
              <w:t xml:space="preserve"> </w:t>
            </w:r>
            <w:r>
              <w:rPr>
                <w:sz w:val="22"/>
                <w:szCs w:val="22"/>
              </w:rPr>
              <w:t>work, social</w:t>
            </w:r>
            <w:r>
              <w:rPr>
                <w:spacing w:val="-2"/>
                <w:sz w:val="22"/>
                <w:szCs w:val="22"/>
              </w:rPr>
              <w:t xml:space="preserve"> </w:t>
            </w:r>
            <w:r>
              <w:rPr>
                <w:sz w:val="22"/>
                <w:szCs w:val="22"/>
              </w:rPr>
              <w:t>work, education or school attendance.</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 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1.</w:t>
            </w:r>
          </w:p>
        </w:tc>
        <w:tc>
          <w:tcPr>
            <w:tcW w:w="6521"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2.</w:t>
            </w:r>
          </w:p>
        </w:tc>
        <w:tc>
          <w:tcPr>
            <w:tcW w:w="6521"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3.</w:t>
            </w:r>
          </w:p>
        </w:tc>
        <w:tc>
          <w:tcPr>
            <w:tcW w:w="6521"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Ability to work flexible hours including evenings and weekends, as and when required.</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4.</w:t>
            </w:r>
          </w:p>
        </w:tc>
        <w:tc>
          <w:tcPr>
            <w:tcW w:w="6521"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5.</w:t>
            </w:r>
          </w:p>
        </w:tc>
        <w:tc>
          <w:tcPr>
            <w:tcW w:w="6521" w:type="dxa"/>
            <w:gridSpan w:val="2"/>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This post is subject to an enhanced disclosure from the Disclosure &amp; Barring Service.</w:t>
            </w:r>
          </w:p>
        </w:tc>
        <w:tc>
          <w:tcPr>
            <w:tcW w:w="2836" w:type="dxa"/>
            <w:tcBorders>
              <w:top w:val="single" w:sz="4" w:space="0" w:color="000000"/>
              <w:bottom w:val="single" w:sz="4" w:space="0" w:color="000000"/>
            </w:tcBorders>
            <w:shd w:fill="auto" w:val="clear"/>
          </w:tcPr>
          <w:p>
            <w:pPr>
              <w:pStyle w:val="Normal"/>
              <w:spacing w:before="80" w:after="80"/>
              <w:rPr>
                <w:rFonts w:ascii="Arial" w:hAnsi="Arial" w:cs="Arial"/>
              </w:rPr>
            </w:pPr>
            <w:r>
              <w:rPr>
                <w:rFonts w:cs="Arial" w:ascii="Arial" w:hAnsi="Arial"/>
              </w:rPr>
              <w:t>Satisfactory DBS Disclosure</w:t>
            </w:r>
          </w:p>
        </w:tc>
      </w:tr>
    </w:tbl>
    <w:p>
      <w:pPr>
        <w:pStyle w:val="Normal"/>
        <w:rPr/>
      </w:pPr>
      <w:r>
        <w:rPr/>
      </w:r>
    </w:p>
    <w:p>
      <w:pPr>
        <w:pStyle w:val="NoSpacing"/>
        <w:rPr>
          <w:rFonts w:ascii="Arial" w:hAnsi="Arial" w:cs="Arial"/>
          <w:b/>
          <w:b/>
          <w:bCs/>
        </w:rPr>
      </w:pPr>
      <w:r>
        <w:rPr>
          <w:rFonts w:cs="Arial" w:ascii="Arial" w:hAnsi="Arial"/>
          <w:b/>
          <w:bCs/>
        </w:rPr>
        <w:t>Date Person Specification prepared/updated:</w:t>
        <w:tab/>
        <w:tab/>
        <w:t>March 2025</w:t>
      </w:r>
    </w:p>
    <w:p>
      <w:pPr>
        <w:pStyle w:val="NoSpacing"/>
        <w:rPr>
          <w:rFonts w:ascii="Arial" w:hAnsi="Arial" w:cs="Arial"/>
          <w:b/>
          <w:b/>
          <w:bCs/>
        </w:rPr>
      </w:pPr>
      <w:r>
        <w:rPr>
          <w:rFonts w:cs="Arial" w:ascii="Arial" w:hAnsi="Arial"/>
          <w:b/>
          <w:bCs/>
        </w:rPr>
      </w:r>
    </w:p>
    <w:p>
      <w:pPr>
        <w:pStyle w:val="NoSpacing"/>
        <w:rPr>
          <w:rFonts w:ascii="Arial" w:hAnsi="Arial" w:cs="Arial"/>
          <w:b/>
          <w:b/>
          <w:bCs/>
        </w:rPr>
      </w:pPr>
      <w:r>
        <w:rPr>
          <w:rFonts w:cs="Arial" w:ascii="Arial" w:hAnsi="Arial"/>
          <w:b/>
          <w:bCs/>
        </w:rPr>
        <w:t>Person Specification prepared by: Anita Jackson</w:t>
        <w:tab/>
        <w:t>Service Manager</w:t>
      </w:r>
    </w:p>
    <w:p>
      <w:pPr>
        <w:pStyle w:val="NoSpacing"/>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unauthorized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
          <w:b/>
          <w:bCs/>
          <w:iCs/>
          <w:color w:val="10191C"/>
          <w:highlight w:val="white"/>
        </w:rPr>
      </w:pPr>
      <w:r>
        <w:rPr>
          <w:rFonts w:cs="Arial" w:ascii="Arial" w:hAnsi="Arial"/>
          <w:b/>
          <w:bCs/>
          <w:i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Paragraph">
    <w:name w:val="Table Paragraph"/>
    <w:basedOn w:val="Normal"/>
    <w:qFormat/>
    <w:pPr>
      <w:widowControl w:val="false"/>
      <w:spacing w:lineRule="auto" w:line="240" w:before="0" w:after="0"/>
    </w:pPr>
    <w:rPr>
      <w:rFonts w:ascii="Arial" w:hAnsi="Arial" w:eastAsia="游明朝" w:cs="Arial"/>
      <w:sz w:val="24"/>
      <w:szCs w:val="24"/>
      <w:lang w:eastAsia="en-GB"/>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2026-03-05T16:23:00Z</dcterms:created>
  <dc:creator>Johnson, Andrew</dc:creator>
  <dc:description/>
  <dc:language>en-US</dc:language>
  <cp:lastModifiedBy>Franklin, Alice</cp:lastModifiedBy>
  <cp:lastPrinted>1995-11-21T17:41:00Z</cp:lastPrinted>
  <dcterms:modified xsi:type="dcterms:W3CDTF">2026-03-06T14:34:00Z</dcterms:modified>
  <cp:revision>15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