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-322580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-300990</wp:posOffset>
                </wp:positionH>
                <wp:positionV relativeFrom="paragraph">
                  <wp:posOffset>21590</wp:posOffset>
                </wp:positionV>
                <wp:extent cx="3143885" cy="648970"/>
                <wp:effectExtent l="0" t="0" r="0" b="0"/>
                <wp:wrapNone/>
                <wp:docPr id="2" name="Text Box 2"/>
                <a:graphic xmlns:a="http://schemas.openxmlformats.org/drawingml/2006/main">
                  <a:graphicData uri="http://schemas.microsoft.com/office/word/2010/wordprocessingShape">
                    <wps:wsp>
                      <wps:cNvSpPr/>
                      <wps:spPr>
                        <a:xfrm>
                          <a:off x="0" y="0"/>
                          <a:ext cx="314316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7pt;margin-top:1.7pt;width:247.45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-300990</wp:posOffset>
                </wp:positionH>
                <wp:positionV relativeFrom="paragraph">
                  <wp:posOffset>21590</wp:posOffset>
                </wp:positionV>
                <wp:extent cx="3143250" cy="648335"/>
                <wp:effectExtent l="0" t="0" r="0" b="0"/>
                <wp:wrapNone/>
                <wp:docPr id="3" name="Frame1"/>
                <a:graphic xmlns:a="http://schemas.openxmlformats.org/drawingml/2006/main">
                  <a:graphicData uri="http://schemas.microsoft.com/office/word/2010/wordprocessingShape">
                    <wps:wsp>
                      <wps:cNvSpPr txBox="1"/>
                      <wps:spPr>
                        <a:xfrm>
                          <a:off x="0" y="0"/>
                          <a:ext cx="3143250" cy="648335"/>
                        </a:xfrm>
                        <a:prstGeom prst="rect"/>
                        <a:solidFill>
                          <a:srgbClr val="FFFFFF"/>
                        </a:solidFill>
                      </wps:spPr>
                      <wps:txbx>
                        <w:txbxContent>
                          <w:p>
                            <w:pPr>
                              <w:pStyle w:val="FrameContents"/>
                              <w:spacing w:before="0" w:after="200"/>
                              <w:rPr/>
                            </w:pPr>
                            <w:r>
                              <w:rPr/>
                              <w:drawing>
                                <wp:inline distT="0" distB="0" distL="0" distR="0">
                                  <wp:extent cx="283718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83718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47.5pt;height:51.05pt;mso-wrap-distance-left:0pt;mso-wrap-distance-right:0pt;mso-wrap-distance-top:5.7pt;mso-wrap-distance-bottom:5.7pt;margin-top:1.7pt;mso-position-vertical-relative:text;margin-left:-23.7pt;mso-position-horizontal-relative:text">
                <v:textbox inset="0.100694444444444in,0.0506944444444444in,0.100694444444444in,0.0506944444444444in">
                  <w:txbxContent>
                    <w:p>
                      <w:pPr>
                        <w:pStyle w:val="FrameContents"/>
                        <w:spacing w:before="0" w:after="200"/>
                        <w:rPr/>
                      </w:pPr>
                      <w:r>
                        <w:rPr/>
                        <w:drawing>
                          <wp:inline distT="0" distB="0" distL="0" distR="0">
                            <wp:extent cx="283718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837180" cy="509270"/>
                                    </a:xfrm>
                                    <a:prstGeom prst="rect">
                                      <a:avLst/>
                                    </a:prstGeom>
                                  </pic:spPr>
                                </pic:pic>
                              </a:graphicData>
                            </a:graphic>
                          </wp:inline>
                        </w:drawing>
                      </w:r>
                    </w:p>
                  </w:txbxContent>
                </v:textbox>
              </v:rect>
            </w:pict>
          </mc:Fallback>
        </mc:AlternateContent>
      </w:r>
    </w:p>
    <w:p>
      <w:pPr>
        <w:pStyle w:val="Normal"/>
        <w:spacing w:before="0" w:after="0"/>
        <w:rPr>
          <w:rFonts w:eastAsia="Calibri" w:cs="Calibri"/>
        </w:rPr>
      </w:pPr>
      <w:r>
        <w:rPr>
          <w:rFonts w:eastAsia="Calibri" w:cs="Calibri"/>
        </w:rPr>
        <w:t xml:space="preserve"> </w:t>
      </w:r>
    </w:p>
    <w:p>
      <w:pPr>
        <w:pStyle w:val="Normal"/>
        <w:spacing w:before="0" w:after="0"/>
        <w:rPr/>
      </w:pPr>
      <w:r>
        <w:rPr/>
      </w:r>
    </w:p>
    <w:p>
      <w:pPr>
        <w:pStyle w:val="Normal"/>
        <w:spacing w:before="0" w:after="0"/>
        <w:rPr/>
      </w:pPr>
      <w:r>
        <w:rPr/>
      </w:r>
    </w:p>
    <w:tbl>
      <w:tblPr>
        <w:tblW w:w="9637" w:type="dxa"/>
        <w:jc w:val="left"/>
        <w:tblInd w:w="0" w:type="dxa"/>
        <w:tblCellMar>
          <w:top w:w="0" w:type="dxa"/>
          <w:left w:w="108" w:type="dxa"/>
          <w:bottom w:w="0" w:type="dxa"/>
          <w:right w:w="108" w:type="dxa"/>
        </w:tblCellMar>
      </w:tblPr>
      <w:tblGrid>
        <w:gridCol w:w="2618"/>
        <w:gridCol w:w="7019"/>
      </w:tblGrid>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Department of Children’s Services</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Governance Support Officer</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Grade</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Grade F SCP 17 - 23</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To provide efficient legal advice and administrative and clerking support to maintained school governing boards and academy trusts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To be responsible for providing and maintaining effective clerking support to an assigned group of school governing boards and academy trusts as agreed with the Senior Governance Support Officer</w:t>
            </w:r>
          </w:p>
          <w:p>
            <w:pPr>
              <w:pStyle w:val="Normal"/>
              <w:spacing w:lineRule="auto" w:line="240" w:before="0" w:after="0"/>
              <w:ind w:left="459" w:right="0" w:hanging="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To be responsible for providing support to each board in fulfilling its three key roles of ensuring clarity of vision, ethos and strategic direction, holding the Head Teacher to account for the educational performance of the school and overseeing the financial performance of the school.</w:t>
            </w:r>
          </w:p>
          <w:p>
            <w:pPr>
              <w:pStyle w:val="Normal"/>
              <w:tabs>
                <w:tab w:val="clear" w:pos="720"/>
                <w:tab w:val="left" w:pos="459" w:leader="none"/>
              </w:tabs>
              <w:overflowPunct w:val="true"/>
              <w:spacing w:lineRule="auto" w:line="240" w:before="0" w:after="0"/>
              <w:ind w:left="459" w:right="504" w:hanging="425"/>
              <w:jc w:val="both"/>
              <w:textAlignment w:val="baseline"/>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To be responsible for ensuring each board operates within the statutory framework established by the school governance regulation and relevant statutory guidance, including academy trust articles of association.</w:t>
            </w:r>
          </w:p>
          <w:p>
            <w:pPr>
              <w:pStyle w:val="Normal"/>
              <w:spacing w:lineRule="auto" w:line="240" w:before="0" w:after="0"/>
              <w:ind w:left="459" w:right="0" w:hanging="0"/>
              <w:jc w:val="both"/>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contribute to implementation of the Team’s Service Delivery Plan.</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b/>
                <w:b/>
              </w:rPr>
            </w:pPr>
            <w:r>
              <w:rPr>
                <w:rFonts w:cs="Arial" w:ascii="Arial" w:hAnsi="Arial"/>
                <w:b/>
              </w:rPr>
              <w:t>Reporting To</w:t>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Senior Governance Support Officer</w:t>
            </w:r>
          </w:p>
        </w:tc>
      </w:tr>
      <w:tr>
        <w:trPr>
          <w:trHeight w:val="506" w:hRule="atLeast"/>
        </w:trPr>
        <w:tc>
          <w:tcPr>
            <w:tcW w:w="26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Direct Staffing Reports</w:t>
            </w:r>
          </w:p>
          <w:p>
            <w:pPr>
              <w:pStyle w:val="Normal"/>
              <w:spacing w:lineRule="auto" w:line="240" w:before="0" w:after="0"/>
              <w:rPr>
                <w:rFonts w:ascii="Arial" w:hAnsi="Arial" w:cs="Arial"/>
                <w:b/>
                <w:b/>
              </w:rPr>
            </w:pPr>
            <w:r>
              <w:rPr>
                <w:rFonts w:cs="Arial" w:ascii="Arial" w:hAnsi="Arial"/>
                <w:b/>
              </w:rPr>
            </w:r>
          </w:p>
        </w:tc>
        <w:tc>
          <w:tcPr>
            <w:tcW w:w="70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566"/>
        <w:gridCol w:w="9071"/>
      </w:tblGrid>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providing support for each board in its main task of promoting high standards of educational achievement and securing the welfare of pupils the school.</w:t>
            </w:r>
          </w:p>
          <w:p>
            <w:pPr>
              <w:pStyle w:val="Normal"/>
              <w:spacing w:lineRule="auto" w:line="240" w:before="0" w:after="0"/>
              <w:rPr>
                <w:rFonts w:ascii="Arial" w:hAnsi="Arial" w:cs="Arial"/>
                <w:b/>
                <w:b/>
              </w:rPr>
            </w:pPr>
            <w:r>
              <w:rPr>
                <w:rFonts w:cs="Arial" w:ascii="Arial" w:hAnsi="Arial"/>
                <w:b/>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In response to enquiries, to be responsible for providing front line, day-to-day independent advice and information to school leaders, chairs and boards on governance issues and procedures including:-</w:t>
            </w:r>
          </w:p>
          <w:p>
            <w:pPr>
              <w:pStyle w:val="Normal"/>
              <w:spacing w:lineRule="auto" w:line="240" w:before="0" w:after="0"/>
              <w:jc w:val="both"/>
              <w:rPr>
                <w:rFonts w:ascii="Arial" w:hAnsi="Arial" w:cs="Arial"/>
              </w:rPr>
            </w:pPr>
            <w:r>
              <w:rPr>
                <w:rFonts w:cs="Arial" w:ascii="Arial" w:hAnsi="Arial"/>
              </w:rPr>
            </w:r>
          </w:p>
          <w:p>
            <w:pPr>
              <w:pStyle w:val="Normal"/>
              <w:numPr>
                <w:ilvl w:val="0"/>
                <w:numId w:val="1"/>
              </w:numPr>
              <w:tabs>
                <w:tab w:val="clear" w:pos="720"/>
                <w:tab w:val="left" w:pos="317" w:leader="none"/>
              </w:tabs>
              <w:spacing w:lineRule="auto" w:line="240" w:before="0" w:after="0"/>
              <w:ind w:left="317" w:right="0" w:hanging="317"/>
              <w:jc w:val="both"/>
              <w:rPr>
                <w:rFonts w:ascii="Arial" w:hAnsi="Arial" w:cs="Arial"/>
              </w:rPr>
            </w:pPr>
            <w:r>
              <w:rPr>
                <w:rFonts w:cs="Arial" w:ascii="Arial" w:hAnsi="Arial"/>
              </w:rPr>
              <w:t>the implementation of all relevant legislation relating to school governance.</w:t>
            </w:r>
          </w:p>
          <w:p>
            <w:pPr>
              <w:pStyle w:val="Normal"/>
              <w:numPr>
                <w:ilvl w:val="0"/>
                <w:numId w:val="1"/>
              </w:numPr>
              <w:tabs>
                <w:tab w:val="clear" w:pos="720"/>
                <w:tab w:val="left" w:pos="317" w:leader="none"/>
              </w:tabs>
              <w:spacing w:lineRule="auto" w:line="240" w:before="0" w:after="0"/>
              <w:ind w:left="317" w:right="0" w:hanging="317"/>
              <w:jc w:val="both"/>
              <w:rPr>
                <w:rFonts w:ascii="Arial" w:hAnsi="Arial" w:cs="Arial"/>
              </w:rPr>
            </w:pPr>
            <w:r>
              <w:rPr>
                <w:rFonts w:cs="Arial" w:ascii="Arial" w:hAnsi="Arial"/>
              </w:rPr>
              <w:t>their duties, powers and responsibilities.</w:t>
            </w:r>
          </w:p>
          <w:p>
            <w:pPr>
              <w:pStyle w:val="Normal"/>
              <w:numPr>
                <w:ilvl w:val="0"/>
                <w:numId w:val="1"/>
              </w:numPr>
              <w:tabs>
                <w:tab w:val="clear" w:pos="720"/>
                <w:tab w:val="left" w:pos="317" w:leader="none"/>
              </w:tabs>
              <w:spacing w:lineRule="auto" w:line="240" w:before="0" w:after="0"/>
              <w:ind w:left="317" w:right="0" w:hanging="317"/>
              <w:jc w:val="both"/>
              <w:rPr>
                <w:rFonts w:ascii="Arial" w:hAnsi="Arial" w:cs="Arial"/>
              </w:rPr>
            </w:pPr>
            <w:r>
              <w:rPr>
                <w:rFonts w:cs="Arial" w:ascii="Arial" w:hAnsi="Arial"/>
              </w:rPr>
              <w:t>the development of governing board and academy trust procedures and structures.</w:t>
            </w:r>
          </w:p>
          <w:p>
            <w:pPr>
              <w:pStyle w:val="Normal"/>
              <w:numPr>
                <w:ilvl w:val="0"/>
                <w:numId w:val="1"/>
              </w:numPr>
              <w:tabs>
                <w:tab w:val="clear" w:pos="720"/>
                <w:tab w:val="left" w:pos="317" w:leader="none"/>
              </w:tabs>
              <w:spacing w:lineRule="auto" w:line="240" w:before="0" w:after="0"/>
              <w:ind w:left="317" w:right="0" w:hanging="317"/>
              <w:jc w:val="both"/>
              <w:rPr>
                <w:rFonts w:ascii="Arial" w:hAnsi="Arial" w:cs="Arial"/>
              </w:rPr>
            </w:pPr>
            <w:r>
              <w:rPr>
                <w:rFonts w:cs="Arial" w:ascii="Arial" w:hAnsi="Arial"/>
              </w:rPr>
              <w:t>the interpretation and application of school governance legislation and guidance before, during and after board meetings.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Where the board is failing to comply with statutory legislation, regulations and guidance and LA advice the Support Officer will be responsible for drawing this to the attention of the Head Teacher, Chair and the relevant Local Authority Officer.</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monitor and evaluate the effectiveness of a Board’s procedures and working practices and to be responsible for advising the school leader, Chair of the Board and the Board’s Training and Development Lead on issues for future development.</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9071" w:type="dxa"/>
            <w:tcBorders/>
            <w:shd w:fill="auto" w:val="clear"/>
          </w:tcPr>
          <w:p>
            <w:pPr>
              <w:pStyle w:val="Normal"/>
              <w:spacing w:lineRule="auto" w:line="240" w:before="0" w:after="0"/>
              <w:rPr>
                <w:rFonts w:ascii="Arial" w:hAnsi="Arial" w:cs="Arial"/>
              </w:rPr>
            </w:pPr>
            <w:r>
              <w:rPr>
                <w:rFonts w:cs="Arial" w:ascii="Arial" w:hAnsi="Arial"/>
              </w:rPr>
              <w:t>To be responsible for providing advice and support to the Board’s Training and Development Lead in the identification of appropriate training and development.</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providing support to the Board in the planning and organisation of its work to support the fulfilment of its statutory duties, by developing and maintaining an annual year planner.</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9071" w:type="dxa"/>
            <w:tcBorders/>
            <w:shd w:fill="auto" w:val="clear"/>
          </w:tcPr>
          <w:p>
            <w:pPr>
              <w:pStyle w:val="Normal"/>
              <w:keepNext w:val="true"/>
              <w:keepLines/>
              <w:spacing w:lineRule="auto" w:line="240" w:before="0" w:after="0"/>
              <w:jc w:val="both"/>
              <w:rPr>
                <w:rFonts w:ascii="Arial" w:hAnsi="Arial" w:cs="Arial"/>
              </w:rPr>
            </w:pPr>
            <w:r>
              <w:rPr>
                <w:rFonts w:cs="Arial" w:ascii="Arial" w:hAnsi="Arial"/>
              </w:rPr>
              <w:t>To be responsible for initiating and maintaining pre-meeting preparation, by working effectively in consultation with the school leader and Chair of the Board on the structure and content of the agenda.</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ensure that the organisation and conduct of the board’s business at meetings is in accordance with its prime objectives of school improvement and raising standards within the boards three core functions of effective governance.</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advising governing and trust boards on the development and implementation of a structure for the organisation, and management of board committees.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9071" w:type="dxa"/>
            <w:tcBorders/>
            <w:shd w:fill="auto" w:val="clear"/>
          </w:tcPr>
          <w:p>
            <w:pPr>
              <w:pStyle w:val="Normal"/>
              <w:spacing w:lineRule="auto" w:line="240" w:before="0" w:after="0"/>
              <w:rPr>
                <w:rFonts w:ascii="Arial" w:hAnsi="Arial" w:cs="Arial"/>
              </w:rPr>
            </w:pPr>
            <w:r>
              <w:rPr>
                <w:rFonts w:cs="Arial" w:ascii="Arial" w:hAnsi="Arial"/>
              </w:rPr>
              <w:t>To be responsible for preparing, for approval by the board, the terms of reference for its committees and working parties.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Ensure prompt responses are received to queries and resolutions raised at board meetings, through liaison with other sections of Children’s Services, other Council Departments and with individual Academy Trusts.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Establish and maintain effective links and communication systems to promote the free flow of information and issues between the boards, chairs, school leaders and Children’s Services, Academy Trusts and external organisations.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encouraging school leaders, staff and others including governors and trustees to produce agenda papers on time for circulation prior to meetings.</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the preparation, and despatch of letters of invitation, agendas, minutes and the collation of background papers for the termly meetings, and where appropriate committees within the statutory time scale of seven days prior to the meeting. As per the Service Level Agreement.</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attend and write the minutes of the three statutory yearly full board meetings of the assigned group of governing and trust boards. As per the Service Level Agreement.</w:t>
            </w:r>
          </w:p>
          <w:p>
            <w:pPr>
              <w:pStyle w:val="Normal"/>
              <w:spacing w:lineRule="auto" w:line="240" w:before="0" w:after="0"/>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attend, provide administrative support and write the minutes for additional full governing board and committee meetings of the boards as requested including staff discipline, dismissal and appeal committees, pupil discipline and complaints committees. As per the Service Level Agreement.</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 xml:space="preserve">To undertake any general administration required in support of the assigned group of governing and trust boards including the maintenance of accurate records, including membership, attendance at meetings and electronic school files including the Governance Gateway meeting management system.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taking appropriate action in respect of the non-attendance of governors and trustees.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Chair that part of the meeting at which the Chair of the Board is elected.</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maintaining records, current terms of reference and memberships of committees, working parties and nominated Governors and Trustees.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provide advice on any policy statements required by law and to assist the board in policy development by ensuring that schools, academies and boards have access to information and assistance on governance legislation, statutory guidance, policies and procedures.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 xml:space="preserve">To be responsible for encouraging boards to fill governance vacancies and to assist in arranging parent and staff governor elections and the appointment of governors and trustees.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To be responsible for providing where requested, administrative support for the School Leader and Deputy School Leader appointment process.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 xml:space="preserve">To give guidance as required for the completion of Disclosure and Barring Services Check and Section 128 checks.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Maintain an up-to-date knowledge of current legislation, regulations, codes of practice, policies, working practices and procedures relating to school and academy governance issues so as to ensure that all board actions conform to their requirements.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26</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 xml:space="preserve">To possess a wide understanding of educational terminology and to be able to explain their meanings to governors and trustees. </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27</w:t>
            </w:r>
          </w:p>
        </w:tc>
        <w:tc>
          <w:tcPr>
            <w:tcW w:w="9071" w:type="dxa"/>
            <w:tcBorders/>
            <w:shd w:fill="auto" w:val="clear"/>
          </w:tcPr>
          <w:p>
            <w:pPr>
              <w:pStyle w:val="Normal"/>
              <w:spacing w:lineRule="auto" w:line="240" w:before="0" w:after="0"/>
              <w:jc w:val="both"/>
              <w:rPr>
                <w:rFonts w:ascii="Arial" w:hAnsi="Arial" w:cs="Arial"/>
              </w:rPr>
            </w:pPr>
            <w:r>
              <w:rPr>
                <w:rFonts w:cs="Arial" w:ascii="Arial" w:hAnsi="Arial"/>
              </w:rPr>
              <w:t>Utilise systems and equipment effectively and efficiently and maintain systems, registers, records and files in good order.</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566" w:type="dxa"/>
            <w:tcBorders/>
            <w:shd w:fill="auto" w:val="clear"/>
          </w:tcPr>
          <w:p>
            <w:pPr>
              <w:pStyle w:val="Normal"/>
              <w:spacing w:lineRule="auto" w:line="240" w:before="0" w:after="0"/>
              <w:rPr>
                <w:rFonts w:ascii="Arial" w:hAnsi="Arial" w:cs="Arial"/>
                <w:b/>
                <w:b/>
              </w:rPr>
            </w:pPr>
            <w:r>
              <w:rPr>
                <w:rFonts w:cs="Arial" w:ascii="Arial" w:hAnsi="Arial"/>
                <w:b/>
              </w:rPr>
              <w:t>28</w:t>
            </w:r>
          </w:p>
        </w:tc>
        <w:tc>
          <w:tcPr>
            <w:tcW w:w="9071" w:type="dxa"/>
            <w:tcBorders/>
            <w:shd w:fill="auto" w:val="clear"/>
          </w:tcPr>
          <w:p>
            <w:pPr>
              <w:pStyle w:val="Normal"/>
              <w:tabs>
                <w:tab w:val="clear" w:pos="720"/>
                <w:tab w:val="left" w:pos="4620" w:leader="none"/>
              </w:tabs>
              <w:spacing w:lineRule="auto" w:line="240" w:before="0" w:after="0"/>
              <w:jc w:val="both"/>
              <w:rPr>
                <w:rFonts w:ascii="Arial" w:hAnsi="Arial" w:cs="Arial"/>
              </w:rPr>
            </w:pPr>
            <w:r>
              <w:rPr>
                <w:rFonts w:cs="Arial" w:ascii="Arial" w:hAnsi="Arial"/>
              </w:rPr>
              <w:t>To contribute to the development of new initiatives, monitor and evaluate the effectiveness and achievements of the service and to review procedures, methods and working practices under the supervision of the Senior Governance Support Officer.</w:t>
            </w:r>
          </w:p>
          <w:p>
            <w:pPr>
              <w:pStyle w:val="Normal"/>
              <w:spacing w:lineRule="auto" w:line="240" w:before="0" w:after="0"/>
              <w:jc w:val="both"/>
              <w:rPr>
                <w:rFonts w:ascii="Arial" w:hAnsi="Arial" w:cs="Arial"/>
              </w:rPr>
            </w:pPr>
            <w:r>
              <w:rPr>
                <w:rFonts w:cs="Arial" w:ascii="Arial" w:hAnsi="Arial"/>
              </w:rPr>
            </w:r>
          </w:p>
        </w:tc>
      </w:tr>
    </w:tbl>
    <w:p>
      <w:pPr>
        <w:pStyle w:val="Normal"/>
        <w:rPr/>
      </w:pPr>
      <w:r>
        <w:rPr/>
      </w:r>
    </w:p>
    <w:tbl>
      <w:tblPr>
        <w:tblW w:w="9637" w:type="dxa"/>
        <w:jc w:val="left"/>
        <w:tblInd w:w="0" w:type="dxa"/>
        <w:tblCellMar>
          <w:top w:w="57" w:type="dxa"/>
          <w:left w:w="108" w:type="dxa"/>
          <w:bottom w:w="57" w:type="dxa"/>
          <w:right w:w="108" w:type="dxa"/>
        </w:tblCellMar>
      </w:tblPr>
      <w:tblGrid>
        <w:gridCol w:w="4556"/>
        <w:gridCol w:w="5081"/>
      </w:tblGrid>
      <w:tr>
        <w:trPr/>
        <w:tc>
          <w:tcPr>
            <w:tcW w:w="4556" w:type="dxa"/>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81" w:type="dxa"/>
            <w:tcBorders/>
            <w:shd w:fill="auto" w:val="clear"/>
          </w:tcPr>
          <w:p>
            <w:pPr>
              <w:pStyle w:val="Normal"/>
              <w:spacing w:lineRule="auto" w:line="240" w:before="0" w:after="0"/>
              <w:rPr>
                <w:rFonts w:ascii="Arial" w:hAnsi="Arial" w:cs="Arial"/>
                <w:b/>
                <w:b/>
              </w:rPr>
            </w:pPr>
            <w:r>
              <w:rPr>
                <w:rFonts w:cs="Arial" w:ascii="Arial" w:hAnsi="Arial"/>
                <w:b/>
              </w:rPr>
              <w:t>February 2010 (revised wording 2021)</w:t>
            </w:r>
          </w:p>
        </w:tc>
      </w:tr>
      <w:tr>
        <w:trPr/>
        <w:tc>
          <w:tcPr>
            <w:tcW w:w="4556"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81" w:type="dxa"/>
            <w:tcBorders/>
            <w:shd w:fill="auto" w:val="clear"/>
          </w:tcPr>
          <w:p>
            <w:pPr>
              <w:pStyle w:val="Normal"/>
              <w:spacing w:lineRule="auto" w:line="240" w:before="0" w:after="0"/>
              <w:rPr>
                <w:rFonts w:ascii="Arial" w:hAnsi="Arial" w:cs="Arial"/>
                <w:b/>
                <w:b/>
              </w:rPr>
            </w:pPr>
            <w:r>
              <w:rPr>
                <w:rFonts w:cs="Arial" w:ascii="Arial" w:hAnsi="Arial"/>
                <w:b/>
              </w:rPr>
              <w:t>John Ashworth, Governance Services Manager</w:t>
            </w:r>
          </w:p>
        </w:tc>
      </w:tr>
    </w:tbl>
    <w:p>
      <w:pPr>
        <w:pStyle w:val="Normal"/>
        <w:rPr/>
      </w:pPr>
      <w:r>
        <w:rPr/>
      </w:r>
    </w:p>
    <w:p>
      <w:pPr>
        <w:pStyle w:val="Normal"/>
        <w:rPr/>
      </w:pPr>
      <w:r>
        <w:rPr/>
      </w:r>
      <w:r>
        <w:br w:type="page"/>
      </w:r>
    </w:p>
    <w:p>
      <w:pPr>
        <w:pStyle w:val="Normal"/>
        <w:rPr/>
      </w:pPr>
      <w:r>
        <w:rPr/>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drawing>
          <wp:anchor behindDoc="0" distT="0" distB="0" distL="0" distR="0" simplePos="0" locked="0" layoutInCell="1" allowOverlap="1" relativeHeight="10">
            <wp:simplePos x="0" y="0"/>
            <wp:positionH relativeFrom="column">
              <wp:posOffset>4251960</wp:posOffset>
            </wp:positionH>
            <wp:positionV relativeFrom="paragraph">
              <wp:posOffset>-328930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tbl>
      <w:tblPr>
        <w:tblW w:w="9718" w:type="dxa"/>
        <w:jc w:val="left"/>
        <w:tblInd w:w="0" w:type="dxa"/>
        <w:tblCellMar>
          <w:top w:w="0" w:type="dxa"/>
          <w:left w:w="108" w:type="dxa"/>
          <w:bottom w:w="0" w:type="dxa"/>
          <w:right w:w="108" w:type="dxa"/>
        </w:tblCellMar>
      </w:tblPr>
      <w:tblGrid>
        <w:gridCol w:w="566"/>
        <w:gridCol w:w="817"/>
        <w:gridCol w:w="284"/>
        <w:gridCol w:w="5279"/>
        <w:gridCol w:w="2762"/>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041" w:type="dxa"/>
            <w:gridSpan w:val="2"/>
            <w:tcBorders/>
            <w:shd w:fill="auto" w:val="clear"/>
          </w:tcPr>
          <w:p>
            <w:pPr>
              <w:pStyle w:val="Normal"/>
              <w:spacing w:before="60" w:after="60"/>
              <w:rPr>
                <w:rFonts w:ascii="Arial" w:hAnsi="Arial" w:cs="Arial"/>
                <w:b/>
                <w:b/>
              </w:rPr>
            </w:pPr>
            <w:r>
              <w:rPr>
                <w:rFonts w:cs="Arial" w:ascii="Arial" w:hAnsi="Arial"/>
                <w:b/>
              </w:rPr>
              <w:t>Department of Children’s Services</w:t>
            </w:r>
          </w:p>
        </w:tc>
      </w:tr>
      <w:tr>
        <w:trPr/>
        <w:tc>
          <w:tcPr>
            <w:tcW w:w="1667" w:type="dxa"/>
            <w:gridSpan w:val="3"/>
            <w:tcBorders/>
            <w:shd w:fill="auto" w:val="clear"/>
          </w:tcPr>
          <w:p>
            <w:pPr>
              <w:pStyle w:val="Normal"/>
              <w:spacing w:before="60" w:after="240"/>
              <w:rPr>
                <w:rFonts w:ascii="Arial" w:hAnsi="Arial" w:cs="Arial"/>
                <w:b/>
                <w:b/>
              </w:rPr>
            </w:pPr>
            <w:r>
              <w:rPr>
                <w:rFonts w:cs="Arial" w:ascii="Arial" w:hAnsi="Arial"/>
                <w:b/>
              </w:rPr>
              <w:t>Job Title</w:t>
            </w:r>
          </w:p>
        </w:tc>
        <w:tc>
          <w:tcPr>
            <w:tcW w:w="8041" w:type="dxa"/>
            <w:gridSpan w:val="2"/>
            <w:tcBorders/>
            <w:shd w:fill="auto" w:val="clear"/>
          </w:tcPr>
          <w:p>
            <w:pPr>
              <w:pStyle w:val="Normal"/>
              <w:spacing w:before="60" w:after="60"/>
              <w:rPr>
                <w:rFonts w:ascii="Arial" w:hAnsi="Arial" w:cs="Arial"/>
                <w:b/>
                <w:b/>
              </w:rPr>
            </w:pPr>
            <w:r>
              <w:rPr>
                <w:rFonts w:cs="Arial" w:ascii="Arial" w:hAnsi="Arial"/>
                <w:b/>
              </w:rPr>
              <w:t>Governance Support Officer</w:t>
            </w:r>
          </w:p>
        </w:tc>
      </w:tr>
      <w:tr>
        <w:trPr/>
        <w:tc>
          <w:tcPr>
            <w:tcW w:w="1383" w:type="dxa"/>
            <w:gridSpan w:val="2"/>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rPr>
            </w:pPr>
            <w:r>
              <w:rPr>
                <w:rFonts w:cs="Arial" w:ascii="Arial" w:hAnsi="Arial"/>
              </w:rPr>
              <w:t>Disabled Candidates are guaranteed an interview if they meet the essential criteria</w:t>
            </w:r>
          </w:p>
        </w:tc>
      </w:tr>
      <w:tr>
        <w:trPr/>
        <w:tc>
          <w:tcPr>
            <w:tcW w:w="6946" w:type="dxa"/>
            <w:gridSpan w:val="4"/>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277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142" w:type="dxa"/>
            <w:gridSpan w:val="4"/>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 proven ability to analyse, assimilate, interpret and apply complex information, particularly legislation, procedures and statutory guidance from a wide range of sources.</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2.</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Excellent written and verbal skills which demonstrate an ability to communicate and present information effectively.</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/Interview/ Test</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3.</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Ability to work alone outside normal hours without management support.</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4.</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Ability to work on own initiative, to be able to demonstrate planning and organisational skills so as to ensure service delivery is maintained.</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5.</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Ability to listen to and accurately record the proceedings at formal meetings.</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6.</w:t>
            </w:r>
          </w:p>
        </w:tc>
        <w:tc>
          <w:tcPr>
            <w:tcW w:w="6380" w:type="dxa"/>
            <w:gridSpan w:val="3"/>
            <w:tcBorders>
              <w:bottom w:val="single" w:sz="4" w:space="0" w:color="000000"/>
            </w:tcBorders>
            <w:shd w:fill="auto" w:val="clear"/>
          </w:tcPr>
          <w:p>
            <w:pPr>
              <w:pStyle w:val="Normal"/>
              <w:spacing w:before="120" w:after="0"/>
              <w:ind w:left="0" w:right="162" w:hanging="0"/>
              <w:rPr>
                <w:rFonts w:ascii="Arial" w:hAnsi="Arial" w:cs="Arial"/>
              </w:rPr>
            </w:pPr>
            <w:r>
              <w:rPr>
                <w:rFonts w:cs="Arial" w:ascii="Arial" w:hAnsi="Arial"/>
              </w:rPr>
              <w:t>Ability to organise and maintain accurate records.</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7.</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Ability to remain calm in conflict situations and to work accurately when under pressure.</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8.</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Demonstrate an ability to negotiating solutions to conflict situations with tact and sensitivity.</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9.</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Competence in word processing and in the ability to input and retrieve data.</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10.</w:t>
            </w:r>
          </w:p>
        </w:tc>
        <w:tc>
          <w:tcPr>
            <w:tcW w:w="6380" w:type="dxa"/>
            <w:gridSpan w:val="3"/>
            <w:tcBorders>
              <w:bottom w:val="single" w:sz="4" w:space="0" w:color="000000"/>
            </w:tcBorders>
            <w:shd w:fill="auto" w:val="clear"/>
          </w:tcPr>
          <w:p>
            <w:pPr>
              <w:pStyle w:val="Normal"/>
              <w:spacing w:before="120" w:after="0"/>
              <w:ind w:left="0" w:right="162" w:hanging="0"/>
              <w:rPr>
                <w:rFonts w:ascii="Arial" w:hAnsi="Arial" w:cs="Arial"/>
              </w:rPr>
            </w:pPr>
            <w:r>
              <w:rPr>
                <w:rFonts w:cs="Arial" w:ascii="Arial" w:hAnsi="Arial"/>
              </w:rPr>
              <w:t>Ability to use computer software within the windows package e.g. Access, Word, Excel, Outlook, Teams etc.</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11.</w:t>
            </w:r>
          </w:p>
        </w:tc>
        <w:tc>
          <w:tcPr>
            <w:tcW w:w="6380" w:type="dxa"/>
            <w:gridSpan w:val="3"/>
            <w:tcBorders>
              <w:bottom w:val="single" w:sz="4" w:space="0" w:color="000000"/>
            </w:tcBorders>
            <w:shd w:fill="auto" w:val="clear"/>
          </w:tcPr>
          <w:p>
            <w:pPr>
              <w:pStyle w:val="Normal"/>
              <w:spacing w:before="120" w:after="0"/>
              <w:ind w:left="0" w:right="162" w:hanging="0"/>
              <w:rPr>
                <w:rFonts w:ascii="Arial" w:hAnsi="Arial" w:cs="Arial"/>
              </w:rPr>
            </w:pPr>
            <w:r>
              <w:rPr>
                <w:rFonts w:cs="Arial" w:ascii="Arial" w:hAnsi="Arial"/>
              </w:rPr>
              <w:t>Ability to undertake long term planning.</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12.</w:t>
            </w:r>
          </w:p>
        </w:tc>
        <w:tc>
          <w:tcPr>
            <w:tcW w:w="6380" w:type="dxa"/>
            <w:gridSpan w:val="3"/>
            <w:tcBorders>
              <w:bottom w:val="single" w:sz="4" w:space="0" w:color="000000"/>
            </w:tcBorders>
            <w:shd w:fill="auto" w:val="clear"/>
          </w:tcPr>
          <w:p>
            <w:pPr>
              <w:pStyle w:val="Normal"/>
              <w:spacing w:before="120" w:after="0"/>
              <w:rPr>
                <w:rFonts w:ascii="Arial" w:hAnsi="Arial" w:cs="Arial"/>
              </w:rPr>
            </w:pPr>
            <w:r>
              <w:rPr>
                <w:rFonts w:cs="Arial" w:ascii="Arial" w:hAnsi="Arial"/>
              </w:rPr>
              <w:t>Awareness of the need to maintain confidentiality when necessary.</w:t>
            </w:r>
          </w:p>
        </w:tc>
        <w:tc>
          <w:tcPr>
            <w:tcW w:w="2762" w:type="dxa"/>
            <w:tcBorders>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13.</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Ability to respond to the changing work patterns that the post requires.</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6" w:type="dxa"/>
            <w:tcBorders>
              <w:bottom w:val="single" w:sz="4" w:space="0" w:color="000000"/>
            </w:tcBorders>
            <w:shd w:fill="auto" w:val="clear"/>
          </w:tcPr>
          <w:p>
            <w:pPr>
              <w:pStyle w:val="Normal"/>
              <w:spacing w:before="120" w:after="0"/>
              <w:rPr>
                <w:rFonts w:ascii="Arial" w:hAnsi="Arial" w:cs="Arial"/>
              </w:rPr>
            </w:pPr>
            <w:r>
              <w:rPr>
                <w:rFonts w:cs="Arial" w:ascii="Arial" w:hAnsi="Arial"/>
              </w:rPr>
              <w:t>14.</w:t>
            </w:r>
          </w:p>
        </w:tc>
        <w:tc>
          <w:tcPr>
            <w:tcW w:w="6380" w:type="dxa"/>
            <w:gridSpan w:val="3"/>
            <w:tcBorders>
              <w:bottom w:val="single" w:sz="4" w:space="0" w:color="000000"/>
            </w:tcBorders>
            <w:shd w:fill="auto" w:val="clear"/>
          </w:tcPr>
          <w:p>
            <w:pPr>
              <w:pStyle w:val="Normal"/>
              <w:spacing w:before="120" w:after="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2762" w:type="dxa"/>
            <w:tcBorders>
              <w:bottom w:val="single" w:sz="4" w:space="0" w:color="000000"/>
            </w:tcBorders>
            <w:shd w:fill="auto" w:val="clear"/>
          </w:tcPr>
          <w:p>
            <w:pPr>
              <w:pStyle w:val="Normal"/>
              <w:spacing w:before="120" w:after="0"/>
              <w:rPr>
                <w:rFonts w:ascii="Arial" w:hAnsi="Arial" w:cs="Arial"/>
              </w:rPr>
            </w:pPr>
            <w:r>
              <w:rPr>
                <w:rFonts w:cs="Arial" w:ascii="Arial" w:hAnsi="Arial"/>
              </w:rPr>
              <w:t>Interview</w:t>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Minimum of 4 GCSE’s, grades A-C, or equivalent, including English Language, or ability to demonstrate attainment at NVQ Level 2, or previous experience of administrative work.</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Application Form</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2.</w:t>
            </w:r>
          </w:p>
        </w:tc>
        <w:tc>
          <w:tcPr>
            <w:tcW w:w="6380" w:type="dxa"/>
            <w:gridSpan w:val="3"/>
            <w:tcBorders>
              <w:top w:val="single" w:sz="4" w:space="0" w:color="000000"/>
              <w:bottom w:val="single" w:sz="4" w:space="0" w:color="000000"/>
            </w:tcBorders>
            <w:shd w:fill="auto" w:val="clear"/>
          </w:tcPr>
          <w:p>
            <w:pPr>
              <w:pStyle w:val="Normal"/>
              <w:spacing w:before="120" w:after="0"/>
              <w:rPr/>
            </w:pPr>
            <w:r>
              <w:rPr>
                <w:rFonts w:cs="Arial" w:ascii="Arial" w:hAnsi="Arial"/>
              </w:rPr>
              <w:t>Experience of committee administration,</w:t>
            </w:r>
            <w:r>
              <w:rPr>
                <w:rFonts w:cs="Arial" w:ascii="Arial" w:hAnsi="Arial"/>
                <w:bCs/>
              </w:rPr>
              <w:t xml:space="preserve"> </w:t>
            </w:r>
            <w:r>
              <w:rPr>
                <w:rFonts w:cs="Arial" w:ascii="Arial" w:hAnsi="Arial"/>
              </w:rPr>
              <w:t>education administration or school, academy or college</w:t>
            </w:r>
            <w:r>
              <w:rPr>
                <w:rFonts w:cs="Arial" w:ascii="Arial" w:hAnsi="Arial"/>
                <w:bCs/>
              </w:rPr>
              <w:t xml:space="preserve"> administration.</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Application Form</w:t>
            </w:r>
          </w:p>
        </w:tc>
      </w:tr>
      <w:tr>
        <w:trPr>
          <w:cantSplit w:val="true"/>
        </w:trPr>
        <w:tc>
          <w:tcPr>
            <w:tcW w:w="971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380" w:type="dxa"/>
            <w:gridSpan w:val="3"/>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Ability to attend evening meetings</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Application Form</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2.</w:t>
            </w:r>
          </w:p>
        </w:tc>
        <w:tc>
          <w:tcPr>
            <w:tcW w:w="6380" w:type="dxa"/>
            <w:gridSpan w:val="3"/>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 flexible approach to arrangements in order to meet the needs of the service and the workload of the team.</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3.</w:t>
            </w:r>
          </w:p>
        </w:tc>
        <w:tc>
          <w:tcPr>
            <w:tcW w:w="6380" w:type="dxa"/>
            <w:gridSpan w:val="3"/>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 xml:space="preserve">Travel to schools throughout the Borough, and surrounding areas, will be required. </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4.</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Ability to work from home.</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Interview</w:t>
            </w:r>
          </w:p>
        </w:tc>
      </w:tr>
      <w:tr>
        <w:trPr>
          <w:cantSplit w:val="true"/>
        </w:trPr>
        <w:tc>
          <w:tcPr>
            <w:tcW w:w="566"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5.</w:t>
            </w:r>
          </w:p>
        </w:tc>
        <w:tc>
          <w:tcPr>
            <w:tcW w:w="6380" w:type="dxa"/>
            <w:gridSpan w:val="3"/>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7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Interview</w:t>
            </w:r>
          </w:p>
          <w:p>
            <w:pPr>
              <w:pStyle w:val="Normal"/>
              <w:spacing w:before="120" w:after="0"/>
              <w:rPr>
                <w:rFonts w:ascii="Arial" w:hAnsi="Arial" w:cs="Arial"/>
              </w:rPr>
            </w:pPr>
            <w:r>
              <w:rPr>
                <w:rFonts w:cs="Arial" w:ascii="Arial" w:hAnsi="Arial"/>
              </w:rPr>
            </w:r>
          </w:p>
        </w:tc>
      </w:tr>
    </w:tbl>
    <w:p>
      <w:pPr>
        <w:pStyle w:val="Normal"/>
        <w:rPr>
          <w:rFonts w:cs="Arial"/>
        </w:rPr>
      </w:pPr>
      <w:r>
        <w:rPr>
          <w:rFonts w:cs="Arial"/>
        </w:rPr>
      </w:r>
    </w:p>
    <w:tbl>
      <w:tblPr>
        <w:tblW w:w="9718" w:type="dxa"/>
        <w:jc w:val="left"/>
        <w:tblInd w:w="0" w:type="dxa"/>
        <w:tblCellMar>
          <w:top w:w="0" w:type="dxa"/>
          <w:left w:w="108" w:type="dxa"/>
          <w:bottom w:w="0" w:type="dxa"/>
          <w:right w:w="108" w:type="dxa"/>
        </w:tblCellMar>
      </w:tblPr>
      <w:tblGrid>
        <w:gridCol w:w="562"/>
        <w:gridCol w:w="1246"/>
        <w:gridCol w:w="5133"/>
        <w:gridCol w:w="2767"/>
        <w:gridCol w:w="10"/>
      </w:tblGrid>
      <w:tr>
        <w:trPr>
          <w:trHeight w:val="653" w:hRule="atLeast"/>
        </w:trPr>
        <w:tc>
          <w:tcPr>
            <w:tcW w:w="1808" w:type="dxa"/>
            <w:gridSpan w:val="2"/>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79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941" w:type="dxa"/>
            <w:gridSpan w:val="3"/>
            <w:tcBorders>
              <w:top w:val="single" w:sz="4" w:space="0" w:color="000000"/>
              <w:left w:val="single" w:sz="4" w:space="0" w:color="000000"/>
              <w:bottom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2777" w:type="dxa"/>
            <w:tcBorders>
              <w:top w:val="single" w:sz="4" w:space="0" w:color="000000"/>
              <w:left w:val="single" w:sz="4" w:space="0" w:color="000000"/>
              <w:bottom w:val="single" w:sz="4" w:space="0" w:color="000000"/>
              <w:right w:val="single" w:sz="4" w:space="0" w:color="000000"/>
            </w:tcBorders>
            <w:shd w:fill="0A0A0A"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rPr>
                <w:rFonts w:ascii="Arial" w:hAnsi="Arial" w:cs="Arial"/>
              </w:rPr>
            </w:pPr>
            <w:r>
              <w:rPr>
                <w:rFonts w:cs="Arial" w:ascii="Arial" w:hAnsi="Arial"/>
              </w:rPr>
              <w:t>Knowledge of regulations, legislation and statutory guidance relating to school and academy governance.</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Knowledge of Local Authority and Children’s Services policies and procedure.</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rPr>
                <w:rFonts w:ascii="Arial" w:hAnsi="Arial" w:cs="Arial"/>
              </w:rPr>
            </w:pPr>
            <w:r>
              <w:rPr>
                <w:rFonts w:cs="Arial" w:ascii="Arial" w:hAnsi="Arial"/>
              </w:rPr>
              <w:t>An understanding of the role of Governors, Trustees and Governing and Academy Trust Boards.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Form/Interview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rPr>
                <w:rFonts w:ascii="Arial" w:hAnsi="Arial" w:cs="Arial"/>
              </w:rPr>
            </w:pPr>
            <w:r>
              <w:rPr>
                <w:rFonts w:cs="Arial" w:ascii="Arial" w:hAnsi="Arial"/>
              </w:rPr>
              <w:t>Knowledge of the way in which schools and academies operate.</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rPr>
                <w:rFonts w:ascii="Arial" w:hAnsi="Arial" w:cs="Arial"/>
              </w:rPr>
            </w:pPr>
            <w:r>
              <w:rPr>
                <w:rFonts w:cs="Arial" w:ascii="Arial" w:hAnsi="Arial"/>
              </w:rPr>
              <w:t>An understanding of current educational or management issues affecting schools, academies and local authorities.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6.</w:t>
            </w:r>
          </w:p>
        </w:tc>
        <w:tc>
          <w:tcPr>
            <w:tcW w:w="6379" w:type="dxa"/>
            <w:gridSpan w:val="2"/>
            <w:tcBorders>
              <w:top w:val="single" w:sz="4" w:space="0" w:color="000000"/>
              <w:bottom w:val="single" w:sz="4" w:space="0" w:color="000000"/>
            </w:tcBorders>
            <w:shd w:fill="auto" w:val="clear"/>
          </w:tcPr>
          <w:p>
            <w:pPr>
              <w:pStyle w:val="Normal"/>
              <w:tabs>
                <w:tab w:val="clear" w:pos="720"/>
                <w:tab w:val="left" w:pos="4995" w:leader="none"/>
              </w:tabs>
              <w:spacing w:before="120" w:after="0"/>
              <w:ind w:left="0" w:right="175" w:hanging="0"/>
              <w:jc w:val="both"/>
              <w:rPr>
                <w:rFonts w:ascii="Arial" w:hAnsi="Arial" w:cs="Arial"/>
              </w:rPr>
            </w:pPr>
            <w:r>
              <w:rPr>
                <w:rFonts w:cs="Arial" w:ascii="Arial" w:hAnsi="Arial"/>
              </w:rPr>
              <w:t>Have an awareness of the work undertaken by other teams within Children’s Services and other Council Departments.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9718"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1.</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Experience of attending school and/or academy trust board meetings.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Application / 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2.</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 xml:space="preserve">Ability to assess, in partnership with the chair and school leader, the effectiveness of the board and its working practices. </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3.</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Ability to provide advice on the development role of governors and trustees.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4.</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Ability to make judgements and advise at meetings on matters of interest.</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r>
        <w:trPr>
          <w:cantSplit w:val="true"/>
        </w:trPr>
        <w:tc>
          <w:tcPr>
            <w:tcW w:w="562" w:type="dxa"/>
            <w:tcBorders>
              <w:top w:val="single" w:sz="4" w:space="0" w:color="000000"/>
              <w:bottom w:val="single" w:sz="4" w:space="0" w:color="000000"/>
            </w:tcBorders>
            <w:shd w:fill="auto" w:val="clear"/>
          </w:tcPr>
          <w:p>
            <w:pPr>
              <w:pStyle w:val="Normal"/>
              <w:spacing w:before="120" w:after="0"/>
              <w:rPr>
                <w:rFonts w:ascii="Arial" w:hAnsi="Arial" w:cs="Arial"/>
              </w:rPr>
            </w:pPr>
            <w:r>
              <w:rPr>
                <w:rFonts w:cs="Arial" w:ascii="Arial" w:hAnsi="Arial"/>
              </w:rPr>
              <w:t>5.</w:t>
            </w:r>
          </w:p>
        </w:tc>
        <w:tc>
          <w:tcPr>
            <w:tcW w:w="6379" w:type="dxa"/>
            <w:gridSpan w:val="2"/>
            <w:tcBorders>
              <w:top w:val="single" w:sz="4" w:space="0" w:color="000000"/>
              <w:bottom w:val="single" w:sz="4" w:space="0" w:color="000000"/>
            </w:tcBorders>
            <w:shd w:fill="auto" w:val="clear"/>
          </w:tcPr>
          <w:p>
            <w:pPr>
              <w:pStyle w:val="Normal"/>
              <w:spacing w:before="120" w:after="0"/>
              <w:ind w:left="0" w:right="175" w:hanging="0"/>
              <w:rPr>
                <w:rFonts w:ascii="Arial" w:hAnsi="Arial" w:cs="Arial"/>
              </w:rPr>
            </w:pPr>
            <w:r>
              <w:rPr>
                <w:rFonts w:cs="Arial" w:ascii="Arial" w:hAnsi="Arial"/>
              </w:rPr>
              <w:t>Ability to motivate governors and trustees in undertaking their roles and responsibilities.</w:t>
            </w:r>
          </w:p>
        </w:tc>
        <w:tc>
          <w:tcPr>
            <w:tcW w:w="2767" w:type="dxa"/>
            <w:tcBorders>
              <w:top w:val="single" w:sz="4" w:space="0" w:color="000000"/>
              <w:left w:val="single" w:sz="4" w:space="0" w:color="000000"/>
              <w:bottom w:val="single" w:sz="4" w:space="0" w:color="000000"/>
            </w:tcBorders>
            <w:shd w:fill="auto" w:val="clear"/>
          </w:tcPr>
          <w:p>
            <w:pPr>
              <w:pStyle w:val="Normal"/>
              <w:spacing w:before="120" w:after="0"/>
              <w:rPr>
                <w:rFonts w:ascii="Arial" w:hAnsi="Arial" w:cs="Arial"/>
                <w:bCs/>
              </w:rPr>
            </w:pPr>
            <w:r>
              <w:rPr>
                <w:rFonts w:cs="Arial" w:ascii="Arial" w:hAnsi="Arial"/>
                <w:bCs/>
              </w:rPr>
              <w:t>Interview</w:t>
            </w:r>
          </w:p>
        </w:tc>
      </w:tr>
    </w:tbl>
    <w:p>
      <w:pPr>
        <w:pStyle w:val="Normal"/>
        <w:rPr/>
      </w:pPr>
      <w:r>
        <w:rPr/>
      </w:r>
    </w:p>
    <w:tbl>
      <w:tblPr>
        <w:tblW w:w="10030" w:type="dxa"/>
        <w:jc w:val="left"/>
        <w:tblInd w:w="0" w:type="dxa"/>
        <w:tblCellMar>
          <w:top w:w="57" w:type="dxa"/>
          <w:left w:w="108" w:type="dxa"/>
          <w:bottom w:w="57" w:type="dxa"/>
          <w:right w:w="108" w:type="dxa"/>
        </w:tblCellMar>
      </w:tblPr>
      <w:tblGrid>
        <w:gridCol w:w="4928"/>
        <w:gridCol w:w="5102"/>
      </w:tblGrid>
      <w:tr>
        <w:trPr/>
        <w:tc>
          <w:tcPr>
            <w:tcW w:w="4928"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5102" w:type="dxa"/>
            <w:tcBorders/>
            <w:shd w:fill="auto" w:val="clear"/>
          </w:tcPr>
          <w:p>
            <w:pPr>
              <w:pStyle w:val="Normal"/>
              <w:spacing w:lineRule="auto" w:line="240" w:before="0" w:after="0"/>
              <w:rPr/>
            </w:pPr>
            <w:r>
              <w:rPr>
                <w:rFonts w:eastAsia="Arial" w:cs="Arial" w:ascii="Arial" w:hAnsi="Arial"/>
                <w:b/>
              </w:rPr>
              <w:t xml:space="preserve"> </w:t>
            </w:r>
            <w:r>
              <w:rPr>
                <w:rFonts w:cs="Arial" w:ascii="Arial" w:hAnsi="Arial"/>
                <w:b/>
              </w:rPr>
              <w:t>February 2010 (revised wording 2021)</w:t>
            </w:r>
          </w:p>
        </w:tc>
      </w:tr>
      <w:tr>
        <w:trPr/>
        <w:tc>
          <w:tcPr>
            <w:tcW w:w="4928"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5102" w:type="dxa"/>
            <w:tcBorders/>
            <w:shd w:fill="auto" w:val="clear"/>
          </w:tcPr>
          <w:p>
            <w:pPr>
              <w:pStyle w:val="Normal"/>
              <w:spacing w:lineRule="auto" w:line="240" w:before="0" w:after="0"/>
              <w:ind w:left="0" w:right="-143" w:hanging="0"/>
              <w:rPr>
                <w:rFonts w:ascii="Arial" w:hAnsi="Arial" w:cs="Arial"/>
                <w:b/>
                <w:b/>
              </w:rPr>
            </w:pPr>
            <w:r>
              <w:rPr>
                <w:rFonts w:cs="Arial" w:ascii="Arial" w:hAnsi="Arial"/>
                <w:b/>
              </w:rPr>
              <w:t>John Ashworth, Governance Services Manager</w:t>
            </w:r>
          </w:p>
        </w:tc>
      </w:tr>
    </w:tbl>
    <w:p>
      <w:pPr>
        <w:pStyle w:val="Normal"/>
        <w:spacing w:lineRule="auto" w:line="240" w:before="0" w:after="0"/>
        <w:rPr>
          <w:b/>
          <w:b/>
        </w:rPr>
      </w:pPr>
      <w:r>
        <w:rPr>
          <w:b/>
        </w:rPr>
      </w:r>
    </w:p>
    <w:p>
      <w:pPr>
        <w:pStyle w:val="Normal"/>
        <w:rPr>
          <w:b/>
          <w:b/>
        </w:rPr>
      </w:pPr>
      <w:r>
        <w:rPr>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spacing w:lineRule="auto" w:line="240" w:before="0" w:after="0"/>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spacing w:lineRule="auto" w:line="240" w:before="0" w:after="0"/>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p>
    <w:p>
      <w:pPr>
        <w:pStyle w:val="Normal"/>
        <w:spacing w:lineRule="auto" w:line="240" w:before="0" w:after="0"/>
        <w:rPr/>
      </w:pP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p>
    <w:p>
      <w:pPr>
        <w:pStyle w:val="Normal"/>
        <w:spacing w:lineRule="auto" w:line="240" w:before="0" w:after="0"/>
        <w:rPr/>
      </w:pP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spacing w:lineRule="auto" w:line="240" w:before="0" w:after="0"/>
        <w:rPr>
          <w:rFonts w:ascii="Arial" w:hAnsi="Arial" w:cs="Arial"/>
          <w:sz w:val="21"/>
          <w:szCs w:val="21"/>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sectPr>
      <w:footerReference w:type="default" r:id="rId11"/>
      <w:type w:val="nextPage"/>
      <w:pgSz w:w="11906" w:h="16838"/>
      <w:pgMar w:left="1134" w:right="1134" w:header="0"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NormalWeb">
    <w:name w:val="Normal (Web)"/>
    <w:basedOn w:val="Normal"/>
    <w:qFormat/>
    <w:pPr>
      <w:spacing w:lineRule="auto" w:line="240" w:before="0" w:after="0"/>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2021-12-15T12:29:00Z</dcterms:created>
  <dc:creator>Longworth, Dawn (Deputy HR Manager)</dc:creator>
  <dc:description/>
  <dc:language>en-US</dc:language>
  <cp:lastModifiedBy>Wardle, Sharon</cp:lastModifiedBy>
  <cp:lastPrinted>1995-11-21T17:41:00Z</cp:lastPrinted>
  <dcterms:modified xsi:type="dcterms:W3CDTF">2026-04-02T09:33:00Z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